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7F" w:rsidRPr="009B1D7F" w:rsidRDefault="009B1D7F" w:rsidP="009B1D7F">
      <w:pPr>
        <w:rPr>
          <w:color w:val="1F497D"/>
          <w:sz w:val="32"/>
          <w:szCs w:val="32"/>
          <w:lang w:val="nl-NL"/>
        </w:rPr>
      </w:pPr>
      <w:r>
        <w:rPr>
          <w:color w:val="1F497D"/>
          <w:sz w:val="32"/>
          <w:szCs w:val="32"/>
          <w:lang w:val="nl-NL"/>
        </w:rPr>
        <w:t>Evaluatie Wet Huis voor klokkenluiders</w:t>
      </w:r>
      <w:r w:rsidR="001C35A8">
        <w:rPr>
          <w:color w:val="1F497D"/>
          <w:sz w:val="32"/>
          <w:szCs w:val="32"/>
          <w:lang w:val="nl-NL"/>
        </w:rPr>
        <w:t xml:space="preserve">                               </w:t>
      </w:r>
      <w:r w:rsidR="001C35A8" w:rsidRPr="001C35A8">
        <w:rPr>
          <w:color w:val="1F497D"/>
          <w:lang w:val="nl-NL"/>
        </w:rPr>
        <w:t>31 oktober 2017</w:t>
      </w:r>
    </w:p>
    <w:p w:rsidR="009B1D7F" w:rsidRDefault="004806E4" w:rsidP="009B1D7F">
      <w:pPr>
        <w:rPr>
          <w:color w:val="1F497D"/>
          <w:lang w:val="nl-NL"/>
        </w:rPr>
      </w:pPr>
      <w:r>
        <w:rPr>
          <w:color w:val="1F497D"/>
          <w:lang w:val="nl-NL"/>
        </w:rPr>
        <w:t>Aantekeningen Jeroen Brabers</w:t>
      </w:r>
    </w:p>
    <w:p w:rsidR="004806E4" w:rsidRDefault="004806E4" w:rsidP="009B1D7F">
      <w:pPr>
        <w:rPr>
          <w:color w:val="1F497D"/>
          <w:lang w:val="nl-NL"/>
        </w:rPr>
      </w:pPr>
    </w:p>
    <w:p w:rsidR="009B1D7F" w:rsidRDefault="009B1D7F" w:rsidP="009B1D7F">
      <w:pPr>
        <w:rPr>
          <w:color w:val="1F497D"/>
          <w:lang w:val="nl-NL"/>
        </w:rPr>
      </w:pPr>
      <w:r>
        <w:rPr>
          <w:color w:val="1F497D"/>
          <w:lang w:val="nl-NL"/>
        </w:rPr>
        <w:t xml:space="preserve">De </w:t>
      </w:r>
      <w:r w:rsidR="0027621A">
        <w:rPr>
          <w:color w:val="1F497D"/>
          <w:lang w:val="nl-NL"/>
        </w:rPr>
        <w:t xml:space="preserve">TI </w:t>
      </w:r>
      <w:r>
        <w:rPr>
          <w:color w:val="1F497D"/>
          <w:lang w:val="nl-NL"/>
        </w:rPr>
        <w:t>commentaren die ik jullie donderdag 26 oktober 2017 toezond</w:t>
      </w:r>
      <w:r w:rsidR="0027621A">
        <w:rPr>
          <w:color w:val="1F497D"/>
          <w:lang w:val="nl-NL"/>
        </w:rPr>
        <w:t>,</w:t>
      </w:r>
      <w:r>
        <w:rPr>
          <w:color w:val="1F497D"/>
          <w:lang w:val="nl-NL"/>
        </w:rPr>
        <w:t xml:space="preserve"> vermelden diverse andere punten</w:t>
      </w:r>
      <w:r w:rsidR="00534B54">
        <w:rPr>
          <w:color w:val="1F497D"/>
          <w:lang w:val="nl-NL"/>
        </w:rPr>
        <w:t xml:space="preserve"> (buiten de </w:t>
      </w:r>
      <w:r w:rsidR="001A4A7A">
        <w:rPr>
          <w:color w:val="1F497D"/>
          <w:lang w:val="nl-NL"/>
        </w:rPr>
        <w:t xml:space="preserve">punten in het overzicht van Lotte) </w:t>
      </w:r>
      <w:r>
        <w:rPr>
          <w:color w:val="1F497D"/>
          <w:lang w:val="nl-NL"/>
        </w:rPr>
        <w:t xml:space="preserve">, die nog aandacht verdienen. Op basis van al die stukken kom ik tot de </w:t>
      </w:r>
      <w:r>
        <w:rPr>
          <w:color w:val="1F497D" w:themeColor="dark2"/>
          <w:lang w:val="nl-NL"/>
        </w:rPr>
        <w:t xml:space="preserve">hieronder genoemde </w:t>
      </w:r>
      <w:r>
        <w:rPr>
          <w:color w:val="1F497D"/>
          <w:lang w:val="nl-NL"/>
        </w:rPr>
        <w:t xml:space="preserve">aandachtspunten/onderwerpen, waarbij ik steeds commentaar geef en probeer relevante vindplaatsen te noemen. Bij sommige punten betwijfel ik of die nog relevant zijn, maar vermeld ik die </w:t>
      </w:r>
      <w:r w:rsidR="0027621A">
        <w:rPr>
          <w:color w:val="1F497D"/>
          <w:lang w:val="nl-NL"/>
        </w:rPr>
        <w:t xml:space="preserve">desondanks </w:t>
      </w:r>
      <w:r>
        <w:rPr>
          <w:color w:val="1F497D"/>
          <w:lang w:val="nl-NL"/>
        </w:rPr>
        <w:t>voor de vo</w:t>
      </w:r>
      <w:r w:rsidR="0027621A">
        <w:rPr>
          <w:color w:val="1F497D"/>
          <w:lang w:val="nl-NL"/>
        </w:rPr>
        <w:t>lledigheid of ter discussie</w:t>
      </w:r>
      <w:r>
        <w:rPr>
          <w:color w:val="1F497D"/>
          <w:lang w:val="nl-NL"/>
        </w:rPr>
        <w:t>:</w:t>
      </w:r>
    </w:p>
    <w:p w:rsidR="009B1D7F" w:rsidRDefault="009B1D7F" w:rsidP="009B1D7F">
      <w:pPr>
        <w:rPr>
          <w:b/>
          <w:bCs/>
          <w:color w:val="1F497D"/>
          <w:lang w:val="nl-NL"/>
        </w:rPr>
      </w:pPr>
    </w:p>
    <w:p w:rsidR="009B1D7F" w:rsidRDefault="009B1D7F" w:rsidP="009B1D7F">
      <w:pPr>
        <w:pStyle w:val="ListParagraph"/>
        <w:numPr>
          <w:ilvl w:val="0"/>
          <w:numId w:val="1"/>
        </w:numPr>
        <w:rPr>
          <w:b/>
          <w:bCs/>
          <w:color w:val="1F497D"/>
          <w:lang w:val="nl-NL"/>
        </w:rPr>
      </w:pPr>
      <w:r>
        <w:rPr>
          <w:b/>
          <w:bCs/>
          <w:color w:val="1F497D"/>
          <w:lang w:val="nl-NL"/>
        </w:rPr>
        <w:t xml:space="preserve">Doel van de Wet </w:t>
      </w:r>
    </w:p>
    <w:p w:rsidR="009B1D7F" w:rsidRDefault="009B1D7F" w:rsidP="009B1D7F">
      <w:pPr>
        <w:pStyle w:val="ListParagraph"/>
        <w:rPr>
          <w:color w:val="1F497D"/>
          <w:lang w:val="nl-NL"/>
        </w:rPr>
      </w:pPr>
      <w:r>
        <w:rPr>
          <w:color w:val="1F497D"/>
          <w:lang w:val="nl-NL"/>
        </w:rPr>
        <w:t>Wat is het belangrijkste, het beter mogelijk maken van onderzoek of betere bescherming van klokkenluiders?  In het gesprek dat Hanah en ik in mei</w:t>
      </w:r>
      <w:r>
        <w:rPr>
          <w:color w:val="1F497D" w:themeColor="dark2"/>
          <w:lang w:val="nl-NL"/>
        </w:rPr>
        <w:t xml:space="preserve">2017 </w:t>
      </w:r>
      <w:r>
        <w:rPr>
          <w:color w:val="1F497D"/>
          <w:lang w:val="nl-NL"/>
        </w:rPr>
        <w:t>met Loven hadden, bleek dit nu precies het verschil in benadering tussen de onderzoeks- en advies afdeling.</w:t>
      </w:r>
    </w:p>
    <w:p w:rsidR="009B1D7F" w:rsidRDefault="009B1D7F" w:rsidP="009B1D7F">
      <w:pPr>
        <w:pStyle w:val="ListParagraph"/>
        <w:rPr>
          <w:color w:val="1F497D"/>
          <w:lang w:val="nl-NL"/>
        </w:rPr>
      </w:pPr>
      <w:r>
        <w:rPr>
          <w:color w:val="1F497D"/>
          <w:lang w:val="nl-NL"/>
        </w:rPr>
        <w:t>TI heeft bij herhaling aandacht gevraagd voor dit punt. Zie ook commentaar 2014 en 2015.</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Bewustzijn</w:t>
      </w:r>
    </w:p>
    <w:p w:rsidR="009B1D7F" w:rsidRDefault="009B1D7F" w:rsidP="009B1D7F">
      <w:pPr>
        <w:pStyle w:val="ListParagraph"/>
        <w:rPr>
          <w:color w:val="1F497D"/>
          <w:lang w:val="nl-NL"/>
        </w:rPr>
      </w:pPr>
      <w:r>
        <w:rPr>
          <w:color w:val="1F497D"/>
          <w:lang w:val="nl-NL"/>
        </w:rPr>
        <w:t>Dit punt komt uit commentaar/ discussienota 2013, maar is nog steeds actueel. Het hangt samen met bewustzijn van toegevoegde waarde van een meldingsregeling, cultuur (zie hieronder) en het raadplegen van een vertrouwenspersoon (zie ook hieronder).</w:t>
      </w:r>
    </w:p>
    <w:p w:rsidR="009B1D7F" w:rsidRDefault="009B1D7F" w:rsidP="009B1D7F">
      <w:pPr>
        <w:pStyle w:val="ListParagraph"/>
        <w:rPr>
          <w:color w:val="1F497D"/>
          <w:lang w:val="nl-NL"/>
        </w:rPr>
      </w:pPr>
      <w:r>
        <w:rPr>
          <w:color w:val="1F497D"/>
          <w:lang w:val="nl-NL"/>
        </w:rPr>
        <w:t>Na 16 maanden Huis moet helaas worden geconstateerd dat er nog veel te doen valt aan het promoten van een meldingsregeling, het uitleggen van de voordelen daarvan en de eisen die daaraan mogen worden gesteld.</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Cultuur verbetering</w:t>
      </w:r>
    </w:p>
    <w:p w:rsidR="009B1D7F" w:rsidRDefault="009B1D7F" w:rsidP="001A4A7A">
      <w:pPr>
        <w:ind w:left="720"/>
        <w:rPr>
          <w:color w:val="1F497D"/>
          <w:lang w:val="nl-NL"/>
        </w:rPr>
      </w:pPr>
      <w:r>
        <w:rPr>
          <w:color w:val="1F497D"/>
          <w:lang w:val="nl-NL"/>
        </w:rPr>
        <w:t>De discussienota uit 2013 vermeldt onder die noemer heel behartenswaardige zaken. Helaas draagt de Wet op zich niet zo heel veel bij aan die benodigde cultuurverbetering,  waarbij het in organisaties aan de orde stellen van zaken die niet lopen gebruikelijk is en medewekers zich vrij voelen dat te doen. Dat komt ook doordat de Wet tegen onze adviezen in een starre beperkte definitie van het begrip misstand heeft. Kernelement daarin is “het maatschappelijk belang” dat in het geding moet zijn.  Helaas hebben de initiatiefnemers geweigerd ook melding van een vermoede schending of overtreding van interne regels</w:t>
      </w:r>
      <w:r w:rsidR="001A4A7A">
        <w:rPr>
          <w:color w:val="1F497D"/>
          <w:lang w:val="nl-NL"/>
        </w:rPr>
        <w:t xml:space="preserve"> of een dreiging van een misstand </w:t>
      </w:r>
      <w:r>
        <w:rPr>
          <w:color w:val="1F497D"/>
          <w:lang w:val="nl-NL"/>
        </w:rPr>
        <w:t xml:space="preserve"> tot een misstand te rekenen. Daardoor worden melders van dat soort zaken (en dan praat je over het overgrote deel van de meldingen) niet wettelijk beschermd.</w:t>
      </w:r>
      <w:r w:rsidR="001A4A7A">
        <w:rPr>
          <w:color w:val="1F497D"/>
          <w:lang w:val="nl-NL"/>
        </w:rPr>
        <w:t xml:space="preserve"> </w:t>
      </w:r>
      <w:r>
        <w:rPr>
          <w:color w:val="1F497D"/>
          <w:lang w:val="nl-NL"/>
        </w:rPr>
        <w:t>TI heeft dit bij herhaling aan de orde gesteld. Zie commentaar 2015.</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Verplichte vertrouwenspersoon</w:t>
      </w:r>
    </w:p>
    <w:p w:rsidR="009B1D7F" w:rsidRDefault="009B1D7F" w:rsidP="009B1D7F">
      <w:pPr>
        <w:ind w:left="720"/>
        <w:rPr>
          <w:color w:val="1F497D"/>
          <w:lang w:val="nl-NL"/>
        </w:rPr>
      </w:pPr>
      <w:r>
        <w:rPr>
          <w:color w:val="1F497D"/>
          <w:lang w:val="nl-NL"/>
        </w:rPr>
        <w:t>In 2013 wordt door TI voorgesteld een vertrouwenspersoon bij alle organisaties (groot en klein) verplicht te stellen. Daarna is dit punt niet meer opgebracht. Op basis van mijn ervaring betwijfel ik of dit voor het MKB haalbaar is. Men heeft daar veelal niet de mensen of het geld voor. In de discussienota wordt ook nog voorgesteld dat dan maar uit te besteden. Ik vraag mij echt af of dat dan de oplossing is en vertrouwenwekkend is.</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Definitie en reikwijdte misstand</w:t>
      </w:r>
    </w:p>
    <w:p w:rsidR="009B1D7F" w:rsidRDefault="009B1D7F" w:rsidP="009B1D7F">
      <w:pPr>
        <w:ind w:left="720"/>
        <w:rPr>
          <w:color w:val="1F497D"/>
          <w:lang w:val="nl-NL"/>
        </w:rPr>
      </w:pPr>
      <w:r>
        <w:rPr>
          <w:color w:val="1F497D"/>
          <w:lang w:val="nl-NL"/>
        </w:rPr>
        <w:t>Zie hierboven onder cultuur. In 2013 heeft TI sowieso een open definitie bepleit.</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Goeder trouw – kwader trouw</w:t>
      </w:r>
    </w:p>
    <w:p w:rsidR="009B1D7F" w:rsidRDefault="009B1D7F" w:rsidP="009B1D7F">
      <w:pPr>
        <w:pStyle w:val="ListParagraph"/>
        <w:rPr>
          <w:color w:val="1F497D"/>
          <w:lang w:val="nl-NL"/>
        </w:rPr>
      </w:pPr>
      <w:r>
        <w:rPr>
          <w:color w:val="1F497D"/>
          <w:lang w:val="nl-NL"/>
        </w:rPr>
        <w:t xml:space="preserve">Hoewel de eis dat een melding te goeder trouw nog wel in art. 7. 658c BW en art. 125 quinquies, derde lid van de Ambtenarenwet staat en relevant lijkt voor de bescherming van de melder, lijkt dat belang geringer te worden op basis van de jurisprudentie. Zie Klokkenluiders in perspectief, mr. M.M. Govaert, p. 85 e.v. De kwade trouw blijkt in de praktijk echter wel degelijk een behoorlijk probleem en het is aan te bevelen om in een </w:t>
      </w:r>
      <w:r>
        <w:rPr>
          <w:color w:val="1F497D"/>
          <w:lang w:val="nl-NL"/>
        </w:rPr>
        <w:lastRenderedPageBreak/>
        <w:t>meldingsregeling op te nemen dat te kwader trouw gedane meldingen niet zulle</w:t>
      </w:r>
      <w:r>
        <w:rPr>
          <w:color w:val="1F497D" w:themeColor="dark2"/>
          <w:lang w:val="nl-NL"/>
        </w:rPr>
        <w:t>n</w:t>
      </w:r>
      <w:r>
        <w:rPr>
          <w:color w:val="1F497D"/>
          <w:lang w:val="nl-NL"/>
        </w:rPr>
        <w:t xml:space="preserve"> worden getolereerd en disciplinair bestraft kunnen worden.  Ik betwijfel echter of dit onderwerp aandacht beh</w:t>
      </w:r>
      <w:r>
        <w:rPr>
          <w:color w:val="1F497D" w:themeColor="dark2"/>
          <w:lang w:val="nl-NL"/>
        </w:rPr>
        <w:t>oe</w:t>
      </w:r>
      <w:r>
        <w:rPr>
          <w:color w:val="1F497D"/>
          <w:lang w:val="nl-NL"/>
        </w:rPr>
        <w:t>ft bij een evaluatie van de Wet. Er zijn grotere issues, zoals de bewijslast bij gestelde benadeling, zie hieronder.</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Anoniem melden</w:t>
      </w:r>
    </w:p>
    <w:p w:rsidR="009B1D7F" w:rsidRDefault="00F2145A" w:rsidP="009B1D7F">
      <w:pPr>
        <w:ind w:left="720"/>
        <w:rPr>
          <w:color w:val="1F497D"/>
          <w:lang w:val="nl-NL"/>
        </w:rPr>
      </w:pPr>
      <w:r>
        <w:rPr>
          <w:color w:val="1F497D"/>
          <w:lang w:val="nl-NL"/>
        </w:rPr>
        <w:t>TI heeft bij herhaling b</w:t>
      </w:r>
      <w:r w:rsidR="009B1D7F">
        <w:rPr>
          <w:color w:val="1F497D"/>
          <w:lang w:val="nl-NL"/>
        </w:rPr>
        <w:t>epleit anoniem melden mogelijk te maken. Zie onder meer commentaar 2013, 2014 (2x) en 2015.</w:t>
      </w:r>
    </w:p>
    <w:p w:rsidR="009B1D7F" w:rsidRDefault="009B1D7F" w:rsidP="009B1D7F">
      <w:pPr>
        <w:rPr>
          <w:color w:val="1F497D"/>
          <w:lang w:val="nl-NL"/>
        </w:rPr>
      </w:pPr>
      <w:r>
        <w:rPr>
          <w:color w:val="1F497D"/>
          <w:lang w:val="nl-NL"/>
        </w:rPr>
        <w:t>               Zie  ook Kamerstukken I, 2015-2016, 34105, D, p.54</w:t>
      </w:r>
      <w:r w:rsidR="00F2145A">
        <w:rPr>
          <w:color w:val="1F497D"/>
          <w:lang w:val="nl-NL"/>
        </w:rPr>
        <w:t>.</w:t>
      </w:r>
      <w:r>
        <w:rPr>
          <w:color w:val="1F497D"/>
          <w:lang w:val="nl-NL"/>
        </w:rPr>
        <w:t xml:space="preserve">  Hier wordt door Min. BZK expliciet </w:t>
      </w:r>
      <w:r w:rsidR="00F2145A">
        <w:rPr>
          <w:color w:val="1F497D"/>
          <w:lang w:val="nl-NL"/>
        </w:rPr>
        <w:t xml:space="preserve"> </w:t>
      </w:r>
    </w:p>
    <w:p w:rsidR="00F2145A" w:rsidRDefault="00F2145A" w:rsidP="009B1D7F">
      <w:pPr>
        <w:rPr>
          <w:color w:val="1F497D"/>
          <w:lang w:val="nl-NL"/>
        </w:rPr>
      </w:pPr>
      <w:r>
        <w:rPr>
          <w:color w:val="1F497D"/>
          <w:lang w:val="nl-NL"/>
        </w:rPr>
        <w:t xml:space="preserve">               gesteld  dat anonieme meldingen bij toezi</w:t>
      </w:r>
      <w:r w:rsidR="00AE034C">
        <w:rPr>
          <w:color w:val="1F497D"/>
          <w:lang w:val="nl-NL"/>
        </w:rPr>
        <w:t>chthouders en inspecties mogeli</w:t>
      </w:r>
      <w:r>
        <w:rPr>
          <w:color w:val="1F497D"/>
          <w:lang w:val="nl-NL"/>
        </w:rPr>
        <w:t xml:space="preserve">jk zijn. Waarom </w:t>
      </w:r>
    </w:p>
    <w:p w:rsidR="00F2145A" w:rsidRDefault="00F2145A" w:rsidP="009B1D7F">
      <w:pPr>
        <w:rPr>
          <w:color w:val="1F497D"/>
          <w:lang w:val="nl-NL"/>
        </w:rPr>
      </w:pPr>
      <w:r>
        <w:rPr>
          <w:color w:val="1F497D"/>
          <w:lang w:val="nl-NL"/>
        </w:rPr>
        <w:t xml:space="preserve">               dan niet bij Huis?    </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 xml:space="preserve">Meer eisen </w:t>
      </w:r>
      <w:r w:rsidR="00F2145A">
        <w:rPr>
          <w:b/>
          <w:bCs/>
          <w:color w:val="1F497D"/>
          <w:lang w:val="nl-NL"/>
        </w:rPr>
        <w:t xml:space="preserve">stellen </w:t>
      </w:r>
      <w:r>
        <w:rPr>
          <w:b/>
          <w:bCs/>
          <w:color w:val="1F497D"/>
          <w:lang w:val="nl-NL"/>
        </w:rPr>
        <w:t xml:space="preserve">aan </w:t>
      </w:r>
      <w:r w:rsidR="00F2145A">
        <w:rPr>
          <w:b/>
          <w:bCs/>
          <w:color w:val="1F497D"/>
          <w:lang w:val="nl-NL"/>
        </w:rPr>
        <w:t xml:space="preserve">een </w:t>
      </w:r>
      <w:r>
        <w:rPr>
          <w:b/>
          <w:bCs/>
          <w:color w:val="1F497D"/>
          <w:lang w:val="nl-NL"/>
        </w:rPr>
        <w:t>interne meldingsregeling</w:t>
      </w:r>
    </w:p>
    <w:p w:rsidR="009B1D7F" w:rsidRDefault="009B1D7F" w:rsidP="009B1D7F">
      <w:pPr>
        <w:ind w:left="720"/>
        <w:rPr>
          <w:color w:val="1F497D"/>
          <w:lang w:val="nl-NL"/>
        </w:rPr>
      </w:pPr>
      <w:r>
        <w:rPr>
          <w:color w:val="1F497D"/>
          <w:lang w:val="nl-NL"/>
        </w:rPr>
        <w:t>In de discussienota van 2013 bepleit TI meer eisen te stellen aan de interne regeling. In het Wetsvoorstel zijn de regels nadien wat uitgebreid. We moeten bespreken of we verder</w:t>
      </w:r>
      <w:r w:rsidR="00F2145A">
        <w:rPr>
          <w:color w:val="1F497D"/>
          <w:lang w:val="nl-NL"/>
        </w:rPr>
        <w:t>e uitbreiding wenselijk vinden</w:t>
      </w:r>
      <w:r>
        <w:rPr>
          <w:color w:val="1F497D"/>
          <w:lang w:val="nl-NL"/>
        </w:rPr>
        <w:t>. Ikzelf denk dat die door de verschillen (in grootte) van de organisat</w:t>
      </w:r>
      <w:r w:rsidR="00F2145A">
        <w:rPr>
          <w:color w:val="1F497D"/>
          <w:lang w:val="nl-NL"/>
        </w:rPr>
        <w:t>ies heel lastig te formuleren zijn</w:t>
      </w:r>
      <w:r>
        <w:rPr>
          <w:color w:val="1F497D"/>
          <w:lang w:val="nl-NL"/>
        </w:rPr>
        <w:t>.</w:t>
      </w:r>
    </w:p>
    <w:p w:rsidR="009B1D7F" w:rsidRDefault="009B1D7F" w:rsidP="009B1D7F">
      <w:pPr>
        <w:rPr>
          <w:color w:val="1F497D"/>
          <w:lang w:val="nl-NL"/>
        </w:rPr>
      </w:pPr>
    </w:p>
    <w:p w:rsidR="009B1D7F" w:rsidRDefault="009B1D7F" w:rsidP="009B1D7F">
      <w:pPr>
        <w:pStyle w:val="ListParagraph"/>
        <w:numPr>
          <w:ilvl w:val="0"/>
          <w:numId w:val="2"/>
        </w:numPr>
        <w:rPr>
          <w:b/>
          <w:bCs/>
          <w:color w:val="1F497D"/>
        </w:rPr>
      </w:pPr>
      <w:proofErr w:type="spellStart"/>
      <w:r>
        <w:rPr>
          <w:b/>
          <w:bCs/>
          <w:color w:val="1F497D"/>
        </w:rPr>
        <w:t>Bescherming</w:t>
      </w:r>
      <w:proofErr w:type="spellEnd"/>
      <w:r>
        <w:rPr>
          <w:b/>
          <w:bCs/>
          <w:color w:val="1F497D"/>
        </w:rPr>
        <w:t xml:space="preserve"> </w:t>
      </w:r>
      <w:proofErr w:type="spellStart"/>
      <w:r>
        <w:rPr>
          <w:b/>
          <w:bCs/>
          <w:color w:val="1F497D"/>
        </w:rPr>
        <w:t>melder</w:t>
      </w:r>
      <w:proofErr w:type="spellEnd"/>
      <w:r>
        <w:rPr>
          <w:b/>
          <w:bCs/>
          <w:color w:val="1F497D"/>
        </w:rPr>
        <w:t xml:space="preserve"> – </w:t>
      </w:r>
      <w:proofErr w:type="spellStart"/>
      <w:r>
        <w:rPr>
          <w:b/>
          <w:bCs/>
          <w:color w:val="1F497D"/>
        </w:rPr>
        <w:t>bewijslast</w:t>
      </w:r>
      <w:proofErr w:type="spellEnd"/>
    </w:p>
    <w:p w:rsidR="009B1D7F" w:rsidRDefault="009B1D7F" w:rsidP="009B1D7F">
      <w:pPr>
        <w:ind w:left="720"/>
        <w:rPr>
          <w:color w:val="1F497D"/>
          <w:lang w:val="nl-NL"/>
        </w:rPr>
      </w:pPr>
      <w:r>
        <w:rPr>
          <w:color w:val="1F497D"/>
          <w:lang w:val="nl-NL"/>
        </w:rPr>
        <w:t xml:space="preserve">Dit blijft een zwak punt. De bewijslast van benadeling ligt bij de melder. Zie Klokkenluiders in perspectief, mr. M.M. Govaert, p. 87 e.v.. We zouden </w:t>
      </w:r>
      <w:r w:rsidR="00785D37">
        <w:rPr>
          <w:color w:val="1F497D"/>
          <w:lang w:val="nl-NL"/>
        </w:rPr>
        <w:t xml:space="preserve">mede in het licht dat 75% van de melders benadeling ondervindt (zie Jaarverlsag Huis 2016), </w:t>
      </w:r>
      <w:r>
        <w:rPr>
          <w:color w:val="1F497D"/>
          <w:lang w:val="nl-NL"/>
        </w:rPr>
        <w:t>moeten bepleiten dat er bij een melding van benade</w:t>
      </w:r>
      <w:r w:rsidR="00785D37">
        <w:rPr>
          <w:color w:val="1F497D"/>
          <w:lang w:val="nl-NL"/>
        </w:rPr>
        <w:t xml:space="preserve">ling  in ieder geval al sprake zou moeten zijn </w:t>
      </w:r>
      <w:r>
        <w:rPr>
          <w:color w:val="1F497D"/>
          <w:lang w:val="nl-NL"/>
        </w:rPr>
        <w:t xml:space="preserve"> van een vermoeden van bewijs. Omkering van de b</w:t>
      </w:r>
      <w:r w:rsidR="00785D37">
        <w:rPr>
          <w:color w:val="1F497D"/>
          <w:lang w:val="nl-NL"/>
        </w:rPr>
        <w:t>ewijslast gaat wellicht wat ver?</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Bescherming niet- werknemers</w:t>
      </w:r>
    </w:p>
    <w:p w:rsidR="009B1D7F" w:rsidRDefault="009B1D7F" w:rsidP="009B1D7F">
      <w:pPr>
        <w:ind w:left="720"/>
        <w:rPr>
          <w:color w:val="1F497D"/>
          <w:lang w:val="nl-NL"/>
        </w:rPr>
      </w:pPr>
      <w:r>
        <w:rPr>
          <w:color w:val="1F497D"/>
          <w:lang w:val="nl-NL"/>
        </w:rPr>
        <w:t>TI heeft hier steeds op gewezen, maar nog is er geen opvolging geven aan de motie van Eerste Kamerlid Bikker (Kamerstukken I, 33258 en 34105, I 1</w:t>
      </w:r>
      <w:r w:rsidR="00AE034C">
        <w:rPr>
          <w:color w:val="1F497D"/>
          <w:lang w:val="nl-NL"/>
        </w:rPr>
        <w:t>)</w:t>
      </w:r>
      <w:r>
        <w:rPr>
          <w:color w:val="1F497D"/>
          <w:lang w:val="nl-NL"/>
        </w:rPr>
        <w:t xml:space="preserve">.  </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Bescherming getuigen, onderzoekers en andere betrokkenen</w:t>
      </w:r>
    </w:p>
    <w:p w:rsidR="009B1D7F" w:rsidRDefault="009B1D7F" w:rsidP="009B1D7F">
      <w:pPr>
        <w:ind w:left="720"/>
        <w:rPr>
          <w:color w:val="1F497D"/>
          <w:lang w:val="nl-NL"/>
        </w:rPr>
      </w:pPr>
      <w:r>
        <w:rPr>
          <w:color w:val="1F497D"/>
          <w:lang w:val="nl-NL"/>
        </w:rPr>
        <w:t>In de praktijk komt het geregeld voor dat onder</w:t>
      </w:r>
      <w:r w:rsidR="00155B74">
        <w:rPr>
          <w:color w:val="1F497D"/>
          <w:lang w:val="nl-NL"/>
        </w:rPr>
        <w:t>zoek wordt bemoeilijkt en bepaal</w:t>
      </w:r>
      <w:r>
        <w:rPr>
          <w:color w:val="1F497D"/>
          <w:lang w:val="nl-NL"/>
        </w:rPr>
        <w:t>de zaken niet kunnen worden bewezen door</w:t>
      </w:r>
      <w:r w:rsidR="00155B74">
        <w:rPr>
          <w:color w:val="1F497D"/>
          <w:lang w:val="nl-NL"/>
        </w:rPr>
        <w:t>d</w:t>
      </w:r>
      <w:r>
        <w:rPr>
          <w:color w:val="1F497D"/>
          <w:lang w:val="nl-NL"/>
        </w:rPr>
        <w:t>at geuituigen en zelfs onderzoekers onder druk worden gezet of geïntimideerd. TI heeft daar onder meer in januari 2015 aandacht voor gevraagd, doch zonder resultaat.</w:t>
      </w:r>
    </w:p>
    <w:p w:rsidR="009B1D7F" w:rsidRDefault="009B1D7F" w:rsidP="009B1D7F">
      <w:pPr>
        <w:ind w:left="720"/>
        <w:rPr>
          <w:color w:val="1F497D"/>
          <w:lang w:val="nl-NL"/>
        </w:rPr>
      </w:pPr>
      <w:r>
        <w:rPr>
          <w:color w:val="1F497D"/>
          <w:lang w:val="nl-NL"/>
        </w:rPr>
        <w:t xml:space="preserve">Het zou de bescherming van een melder (in geval van gestelde benadeling) en het onderzoek vergemakkelijken als in de Wet benadeling </w:t>
      </w:r>
      <w:r w:rsidR="00155B74">
        <w:rPr>
          <w:color w:val="1F497D"/>
          <w:lang w:val="nl-NL"/>
        </w:rPr>
        <w:t xml:space="preserve">of intimidatie </w:t>
      </w:r>
      <w:r>
        <w:rPr>
          <w:color w:val="1F497D"/>
          <w:lang w:val="nl-NL"/>
        </w:rPr>
        <w:t>van</w:t>
      </w:r>
      <w:r w:rsidR="00155B74">
        <w:rPr>
          <w:color w:val="1F497D"/>
          <w:lang w:val="nl-NL"/>
        </w:rPr>
        <w:t xml:space="preserve"> </w:t>
      </w:r>
      <w:r>
        <w:rPr>
          <w:color w:val="1F497D"/>
          <w:lang w:val="nl-NL"/>
        </w:rPr>
        <w:t>getuigen en andere bij het onderzoek betrokken personen uitdrukkelijk werd verboden.</w:t>
      </w:r>
    </w:p>
    <w:p w:rsidR="009B1D7F" w:rsidRDefault="009B1D7F" w:rsidP="009B1D7F">
      <w:pPr>
        <w:ind w:left="720"/>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Regie melders</w:t>
      </w:r>
    </w:p>
    <w:p w:rsidR="009B1D7F" w:rsidRDefault="00155B74" w:rsidP="009B1D7F">
      <w:pPr>
        <w:autoSpaceDE w:val="0"/>
        <w:autoSpaceDN w:val="0"/>
        <w:rPr>
          <w:color w:val="1F497D"/>
          <w:lang w:val="nl-NL"/>
        </w:rPr>
      </w:pPr>
      <w:r>
        <w:rPr>
          <w:color w:val="1F497D"/>
          <w:lang w:val="nl-NL"/>
        </w:rPr>
        <w:t>               </w:t>
      </w:r>
      <w:r w:rsidR="009B1D7F">
        <w:rPr>
          <w:color w:val="1F497D"/>
          <w:lang w:val="nl-NL"/>
        </w:rPr>
        <w:t xml:space="preserve">Bij de Kamerbehandeling van het Initiatiefwetsvoorstel is hierover veel geschreven en </w:t>
      </w:r>
    </w:p>
    <w:p w:rsidR="00155B74" w:rsidRDefault="00013269" w:rsidP="009B1D7F">
      <w:pPr>
        <w:autoSpaceDE w:val="0"/>
        <w:autoSpaceDN w:val="0"/>
        <w:rPr>
          <w:color w:val="1F497D"/>
          <w:lang w:val="nl-NL"/>
        </w:rPr>
      </w:pPr>
      <w:r>
        <w:rPr>
          <w:color w:val="1F497D"/>
          <w:lang w:val="nl-NL"/>
        </w:rPr>
        <w:t xml:space="preserve">               </w:t>
      </w:r>
      <w:r w:rsidR="00155B74">
        <w:rPr>
          <w:color w:val="1F497D"/>
          <w:lang w:val="nl-NL"/>
        </w:rPr>
        <w:t xml:space="preserve">gezegd. In de gewijzigde memorie van toelichting (Kamerstukken II, 34105, 7, p.16 staat  </w:t>
      </w:r>
    </w:p>
    <w:p w:rsidR="00013269" w:rsidRDefault="00013269" w:rsidP="009B1D7F">
      <w:pPr>
        <w:autoSpaceDE w:val="0"/>
        <w:autoSpaceDN w:val="0"/>
        <w:rPr>
          <w:color w:val="1F497D"/>
          <w:lang w:val="nl-NL"/>
        </w:rPr>
      </w:pPr>
      <w:r>
        <w:rPr>
          <w:color w:val="1F497D"/>
          <w:lang w:val="nl-NL"/>
        </w:rPr>
        <w:t xml:space="preserve">               onder meer: “Wanneer de werknemer besluit om na het ontvangen van het advies niet over </w:t>
      </w:r>
    </w:p>
    <w:p w:rsidR="00013269" w:rsidRDefault="00013269" w:rsidP="009B1D7F">
      <w:pPr>
        <w:autoSpaceDE w:val="0"/>
        <w:autoSpaceDN w:val="0"/>
        <w:rPr>
          <w:color w:val="1F497D"/>
          <w:lang w:val="nl-NL"/>
        </w:rPr>
      </w:pPr>
      <w:r>
        <w:rPr>
          <w:color w:val="1F497D"/>
          <w:lang w:val="nl-NL"/>
        </w:rPr>
        <w:t xml:space="preserve">               te gaan tot het melden van een vermoeden van een misstand ten behoeve van onderzoek, </w:t>
      </w:r>
    </w:p>
    <w:p w:rsidR="00013269" w:rsidRDefault="00013269" w:rsidP="009B1D7F">
      <w:pPr>
        <w:autoSpaceDE w:val="0"/>
        <w:autoSpaceDN w:val="0"/>
        <w:rPr>
          <w:color w:val="1F497D"/>
          <w:lang w:val="nl-NL"/>
        </w:rPr>
      </w:pPr>
      <w:r>
        <w:rPr>
          <w:color w:val="1F497D"/>
          <w:lang w:val="nl-NL"/>
        </w:rPr>
        <w:t xml:space="preserve">               behoudt hij de regie over zijn eigen zaak. De werknemer kan bepalen dat stukken  </w:t>
      </w:r>
    </w:p>
    <w:p w:rsidR="00013269" w:rsidRDefault="00013269" w:rsidP="009B1D7F">
      <w:pPr>
        <w:autoSpaceDE w:val="0"/>
        <w:autoSpaceDN w:val="0"/>
        <w:rPr>
          <w:color w:val="1F497D"/>
          <w:lang w:val="nl-NL"/>
        </w:rPr>
      </w:pPr>
      <w:r>
        <w:rPr>
          <w:color w:val="1F497D"/>
          <w:lang w:val="nl-NL"/>
        </w:rPr>
        <w:t xml:space="preserve">               vertrouwelijk bij  de afdeling advies blijven en niet worden uitgewisseld tussen de afdeling      </w:t>
      </w:r>
    </w:p>
    <w:p w:rsidR="00013269" w:rsidRDefault="00013269" w:rsidP="009B1D7F">
      <w:pPr>
        <w:autoSpaceDE w:val="0"/>
        <w:autoSpaceDN w:val="0"/>
        <w:rPr>
          <w:color w:val="1F497D"/>
          <w:lang w:val="nl-NL"/>
        </w:rPr>
      </w:pPr>
      <w:r>
        <w:rPr>
          <w:color w:val="1F497D"/>
          <w:lang w:val="nl-NL"/>
        </w:rPr>
        <w:t xml:space="preserve">               advies en de afdeling onderzoek”.  </w:t>
      </w:r>
    </w:p>
    <w:p w:rsidR="00013269" w:rsidRDefault="009B1D7F" w:rsidP="00013269">
      <w:pPr>
        <w:autoSpaceDE w:val="0"/>
        <w:autoSpaceDN w:val="0"/>
        <w:ind w:left="360"/>
        <w:rPr>
          <w:color w:val="1F497D"/>
          <w:lang w:val="nl-NL"/>
        </w:rPr>
      </w:pPr>
      <w:r>
        <w:rPr>
          <w:color w:val="1F497D"/>
          <w:lang w:val="nl-NL"/>
        </w:rPr>
        <w:t>        Echter in de memorie van antwoord (Kamerstukken I, 34105, C, p.8 staat: “Het gaat hier niet</w:t>
      </w:r>
    </w:p>
    <w:p w:rsidR="00964848" w:rsidRDefault="00013269" w:rsidP="00013269">
      <w:pPr>
        <w:autoSpaceDE w:val="0"/>
        <w:autoSpaceDN w:val="0"/>
        <w:ind w:left="720"/>
        <w:rPr>
          <w:color w:val="1F497D"/>
          <w:lang w:val="nl-NL"/>
        </w:rPr>
      </w:pPr>
      <w:r>
        <w:rPr>
          <w:color w:val="1F497D"/>
          <w:lang w:val="nl-NL"/>
        </w:rPr>
        <w:t xml:space="preserve"> om de signaleringsfunctie. In de nota naar aanleiding van het verslag (Kamerstukken II 2014/2015, 34 105, nr. 9, pag. 4) is toegelicht dat met deze bevoegdheid tegemoet wordt gekomen aan de wens van sommige klokkenluiders die het weliswaar noodzakelijk achten dat onderzoek wordt gedaan, maar uit vrees voor hun persoonlijke situatie niet zelf het </w:t>
      </w:r>
      <w:r>
        <w:rPr>
          <w:color w:val="1F497D"/>
          <w:lang w:val="nl-NL"/>
        </w:rPr>
        <w:lastRenderedPageBreak/>
        <w:t xml:space="preserve">verzoek tot </w:t>
      </w:r>
      <w:r w:rsidR="009B1D7F">
        <w:rPr>
          <w:color w:val="1F497D"/>
          <w:lang w:val="nl-NL"/>
        </w:rPr>
        <w:t xml:space="preserve"> onderzoek willen doen. Deze bevoegdheid</w:t>
      </w:r>
      <w:r w:rsidR="009B1D7F">
        <w:rPr>
          <w:lang w:val="nl-NL"/>
        </w:rPr>
        <w:t xml:space="preserve"> </w:t>
      </w:r>
      <w:r w:rsidR="009B1D7F">
        <w:rPr>
          <w:color w:val="1F497D"/>
          <w:lang w:val="nl-NL"/>
        </w:rPr>
        <w:t>kan dan ook niet gekwalificeerd worden</w:t>
      </w:r>
      <w:r>
        <w:rPr>
          <w:color w:val="1F497D"/>
          <w:lang w:val="nl-NL"/>
        </w:rPr>
        <w:t xml:space="preserve"> als een volledig zelfstandige </w:t>
      </w:r>
      <w:r w:rsidR="009B1D7F">
        <w:rPr>
          <w:color w:val="1F497D"/>
          <w:lang w:val="nl-NL"/>
        </w:rPr>
        <w:t xml:space="preserve">onderzoeksbevoegdheid. Er moet in alle gevallen een signaal van een of meerdere werknemers bij </w:t>
      </w:r>
      <w:r>
        <w:rPr>
          <w:color w:val="1F497D"/>
          <w:lang w:val="nl-NL"/>
        </w:rPr>
        <w:t>het Huis zijn binnengekomen”.  </w:t>
      </w:r>
    </w:p>
    <w:p w:rsidR="009B1D7F" w:rsidRDefault="009B1D7F" w:rsidP="00013269">
      <w:pPr>
        <w:autoSpaceDE w:val="0"/>
        <w:autoSpaceDN w:val="0"/>
        <w:ind w:left="720"/>
        <w:rPr>
          <w:color w:val="1F497D"/>
          <w:lang w:val="nl-NL"/>
        </w:rPr>
      </w:pPr>
      <w:r>
        <w:rPr>
          <w:color w:val="1F497D"/>
          <w:lang w:val="nl-NL"/>
        </w:rPr>
        <w:t>Kortom, als er meerdere melders zijn kan een zaak toch</w:t>
      </w:r>
      <w:r w:rsidR="009F73F0">
        <w:rPr>
          <w:color w:val="1F497D"/>
          <w:lang w:val="nl-NL"/>
        </w:rPr>
        <w:t xml:space="preserve"> </w:t>
      </w:r>
      <w:r>
        <w:rPr>
          <w:color w:val="1F497D"/>
          <w:lang w:val="nl-NL"/>
        </w:rPr>
        <w:t xml:space="preserve">worden onderzocht ondanks het feit dat een van hen dat niet durft of wil. Wat er dan met de informatie die </w:t>
      </w:r>
      <w:r w:rsidR="00013269">
        <w:rPr>
          <w:color w:val="1F497D"/>
          <w:lang w:val="nl-NL"/>
        </w:rPr>
        <w:t>deze </w:t>
      </w:r>
      <w:r>
        <w:rPr>
          <w:color w:val="1F497D"/>
          <w:lang w:val="nl-NL"/>
        </w:rPr>
        <w:t xml:space="preserve">melder heeft verstrekt aan de Onderzoeksafdeling is en blijft </w:t>
      </w:r>
      <w:r w:rsidR="00013269">
        <w:rPr>
          <w:color w:val="1F497D"/>
          <w:lang w:val="nl-NL"/>
        </w:rPr>
        <w:t>on</w:t>
      </w:r>
      <w:r>
        <w:rPr>
          <w:color w:val="1F497D"/>
          <w:lang w:val="nl-NL"/>
        </w:rPr>
        <w:t>du</w:t>
      </w:r>
      <w:r w:rsidR="00013269">
        <w:rPr>
          <w:color w:val="1F497D"/>
          <w:lang w:val="nl-NL"/>
        </w:rPr>
        <w:t xml:space="preserve">idelijk. In de zojuist genoemd </w:t>
      </w:r>
      <w:r>
        <w:rPr>
          <w:color w:val="1F497D"/>
          <w:lang w:val="nl-NL"/>
        </w:rPr>
        <w:t>memorie van atwoord, Kamerstukken</w:t>
      </w:r>
      <w:r w:rsidR="00013269">
        <w:rPr>
          <w:color w:val="1F497D"/>
          <w:lang w:val="nl-NL"/>
        </w:rPr>
        <w:t xml:space="preserve"> </w:t>
      </w:r>
      <w:r>
        <w:rPr>
          <w:color w:val="1F497D"/>
          <w:lang w:val="nl-NL"/>
        </w:rPr>
        <w:t>I, C</w:t>
      </w:r>
      <w:r w:rsidR="00013269">
        <w:rPr>
          <w:color w:val="1F497D"/>
          <w:lang w:val="nl-NL"/>
        </w:rPr>
        <w:t xml:space="preserve">, </w:t>
      </w:r>
      <w:r>
        <w:rPr>
          <w:color w:val="1F497D"/>
          <w:lang w:val="nl-NL"/>
        </w:rPr>
        <w:t xml:space="preserve"> p.15, wordt ter verduidelijking ook verwezen naar het onderzoeksprotocol als bedoeld in art. 3h, maar dat is er 16 maanden na de oprichting van het Huis nog steeds niet.</w:t>
      </w:r>
    </w:p>
    <w:p w:rsidR="009B1D7F" w:rsidRDefault="009B1D7F" w:rsidP="009B1D7F">
      <w:pPr>
        <w:autoSpaceDE w:val="0"/>
        <w:autoSpaceDN w:val="0"/>
        <w:ind w:left="360"/>
        <w:rPr>
          <w:color w:val="1F497D"/>
          <w:lang w:val="nl-NL"/>
        </w:rPr>
      </w:pPr>
    </w:p>
    <w:p w:rsidR="009B1D7F" w:rsidRDefault="009B1D7F" w:rsidP="009B1D7F">
      <w:pPr>
        <w:pStyle w:val="ListParagraph"/>
        <w:numPr>
          <w:ilvl w:val="0"/>
          <w:numId w:val="2"/>
        </w:numPr>
        <w:autoSpaceDE w:val="0"/>
        <w:autoSpaceDN w:val="0"/>
        <w:rPr>
          <w:b/>
          <w:bCs/>
          <w:color w:val="1F497D"/>
          <w:lang w:val="nl-NL"/>
        </w:rPr>
      </w:pPr>
      <w:r>
        <w:rPr>
          <w:b/>
          <w:bCs/>
          <w:color w:val="1F497D"/>
          <w:lang w:val="nl-NL"/>
        </w:rPr>
        <w:t>Scheiding Advies – Onderzoek</w:t>
      </w:r>
    </w:p>
    <w:p w:rsidR="009B1D7F" w:rsidRDefault="009B1D7F" w:rsidP="009B1D7F">
      <w:pPr>
        <w:ind w:left="720"/>
        <w:rPr>
          <w:color w:val="1F497D"/>
          <w:lang w:val="nl-NL"/>
        </w:rPr>
      </w:pPr>
      <w:r>
        <w:rPr>
          <w:color w:val="1F497D"/>
          <w:lang w:val="nl-NL"/>
        </w:rPr>
        <w:t>Dit is in alle commentaren van TI en vele andere organisaties een steeds maar terugkerend onderwerp. De initiatiefnemers wilden niet luisteren. In het gesprek dat Hannah en ik had</w:t>
      </w:r>
      <w:r w:rsidR="00507AD3">
        <w:rPr>
          <w:color w:val="1F497D"/>
          <w:lang w:val="nl-NL"/>
        </w:rPr>
        <w:t>den</w:t>
      </w:r>
      <w:r>
        <w:rPr>
          <w:color w:val="1F497D"/>
          <w:lang w:val="nl-NL"/>
        </w:rPr>
        <w:t xml:space="preserve"> met Loven in mei 2017 bleek dit nog steeds een moeilijk en onduidelijk onderwerp. Bij de Kamerbehandeling heb</w:t>
      </w:r>
      <w:r w:rsidR="00507AD3">
        <w:rPr>
          <w:color w:val="1F497D"/>
          <w:lang w:val="nl-NL"/>
        </w:rPr>
        <w:t>ben Van Raak cs zichzelf geregel</w:t>
      </w:r>
      <w:r>
        <w:rPr>
          <w:color w:val="1F497D"/>
          <w:lang w:val="nl-NL"/>
        </w:rPr>
        <w:t xml:space="preserve">d tegengesproken of zijn zij teruggekomen op hetgeen eerder werd gesteld. Zie bij voorbeeld Kamerstukken II, 34105, 2014/15, 9, p.11 waar staat dat de voorzitter geen bevoegdheden op casus niveau heeft, </w:t>
      </w:r>
      <w:r w:rsidR="00507AD3">
        <w:rPr>
          <w:color w:val="1F497D"/>
          <w:lang w:val="nl-NL"/>
        </w:rPr>
        <w:t xml:space="preserve">en </w:t>
      </w:r>
      <w:r>
        <w:rPr>
          <w:color w:val="1F497D"/>
          <w:lang w:val="nl-NL"/>
        </w:rPr>
        <w:t xml:space="preserve">Kamerstukken I, 34105, 2015/16, C, p.4, waar staat:                                   </w:t>
      </w:r>
    </w:p>
    <w:p w:rsidR="009B1D7F" w:rsidRDefault="009B1D7F" w:rsidP="009B1D7F">
      <w:pPr>
        <w:ind w:left="720"/>
        <w:rPr>
          <w:color w:val="1F497D"/>
          <w:lang w:val="nl-NL"/>
        </w:rPr>
      </w:pPr>
      <w:r>
        <w:rPr>
          <w:color w:val="1F497D"/>
          <w:lang w:val="nl-NL"/>
        </w:rPr>
        <w:t>“Ten aanzien van het bestuur betekent het dat in de fase van advisering en interne behandeling bij de eigen organisatie van het vermoeden van de misstand uitsluitend de bestuursleden van de afdeling advies, zo nodig aangevuld met de voorzitter, kunnen overleggen over deze individuele casus”.</w:t>
      </w:r>
    </w:p>
    <w:p w:rsidR="00A85504" w:rsidRDefault="00A85504" w:rsidP="009B1D7F">
      <w:pPr>
        <w:ind w:left="720"/>
        <w:rPr>
          <w:color w:val="1F497D"/>
          <w:lang w:val="nl-NL"/>
        </w:rPr>
      </w:pPr>
      <w:r>
        <w:rPr>
          <w:color w:val="1F497D"/>
          <w:lang w:val="nl-NL"/>
        </w:rPr>
        <w:t>Ook de posit</w:t>
      </w:r>
      <w:r w:rsidR="009F73F0">
        <w:rPr>
          <w:color w:val="1F497D"/>
          <w:lang w:val="nl-NL"/>
        </w:rPr>
        <w:t>i</w:t>
      </w:r>
      <w:r>
        <w:rPr>
          <w:color w:val="1F497D"/>
          <w:lang w:val="nl-NL"/>
        </w:rPr>
        <w:t>e van de adviseur is onduidelijk. Zie Kamerstukken I, 34105, 2015/16, C, p.6, waar staat: “</w:t>
      </w:r>
      <w:r w:rsidRPr="00A85504">
        <w:rPr>
          <w:color w:val="1F497D"/>
          <w:lang w:val="nl-NL"/>
        </w:rPr>
        <w:t>Wij realiseren ons dat deze vormgeving van de verschillende taken voor de bestuursleden en medewerkers van het Huis in sommige gevallen een niet-eenvoudige opgave zal zijn. Het is immers denkbaar dat tijdens de onderzoeksfase voor de klokkenluider problematiek ontstaat, juist als gevolg van het onderzoek. Er kan dan spanning ontstaan tussen de beide betrokken afdelingen. Met name de adviseur zal distantie moeten betrachten ten opzichte van de collega’s die het onderzoek verrichten en helderheid moeten creëren naar de werknemer over zijn positie ten aanzien van het onderzoek. Hij kan nog steeds de werknemer ondersteunen (bijvoorbeeld door duiding van de processtappen), maar mag niet het onderzoek beïnvloeden en moet dit duidelijk maken aan de werknemer</w:t>
      </w:r>
      <w:r>
        <w:rPr>
          <w:color w:val="1F497D"/>
          <w:lang w:val="nl-NL"/>
        </w:rPr>
        <w:t>”</w:t>
      </w:r>
      <w:r w:rsidRPr="00A85504">
        <w:rPr>
          <w:color w:val="1F497D"/>
          <w:lang w:val="nl-NL"/>
        </w:rPr>
        <w:t>.</w:t>
      </w:r>
      <w:r>
        <w:rPr>
          <w:color w:val="1F497D"/>
          <w:lang w:val="nl-NL"/>
        </w:rPr>
        <w:t>                                 </w:t>
      </w:r>
    </w:p>
    <w:p w:rsidR="00B60719" w:rsidRDefault="00B60719" w:rsidP="009B1D7F">
      <w:pPr>
        <w:ind w:left="720"/>
        <w:rPr>
          <w:color w:val="1F497D"/>
          <w:lang w:val="nl-NL"/>
        </w:rPr>
      </w:pPr>
    </w:p>
    <w:p w:rsidR="00D51141" w:rsidRPr="00D51141" w:rsidRDefault="00015778" w:rsidP="00D51141">
      <w:pPr>
        <w:pStyle w:val="ListParagraph"/>
        <w:numPr>
          <w:ilvl w:val="0"/>
          <w:numId w:val="2"/>
        </w:numPr>
        <w:rPr>
          <w:b/>
          <w:bCs/>
          <w:color w:val="1F497D"/>
          <w:lang w:val="nl-NL"/>
        </w:rPr>
      </w:pPr>
      <w:r>
        <w:rPr>
          <w:b/>
          <w:bCs/>
          <w:color w:val="1F497D"/>
          <w:lang w:val="nl-NL"/>
        </w:rPr>
        <w:t>Afdeling Kennis en P</w:t>
      </w:r>
      <w:r w:rsidR="00D51141">
        <w:rPr>
          <w:b/>
          <w:bCs/>
          <w:color w:val="1F497D"/>
          <w:lang w:val="nl-NL"/>
        </w:rPr>
        <w:t>reventie (voormalig BIOS)</w:t>
      </w:r>
    </w:p>
    <w:p w:rsidR="009B1D7F" w:rsidRDefault="00D51141" w:rsidP="009B1D7F">
      <w:pPr>
        <w:ind w:left="720"/>
        <w:rPr>
          <w:color w:val="1F497D"/>
          <w:lang w:val="nl-NL"/>
        </w:rPr>
      </w:pPr>
      <w:r>
        <w:rPr>
          <w:color w:val="1F497D"/>
          <w:lang w:val="nl-NL"/>
        </w:rPr>
        <w:t>In artikel 3a van de Wet wordt algemen</w:t>
      </w:r>
      <w:r w:rsidR="007E6217">
        <w:rPr>
          <w:color w:val="1F497D"/>
          <w:lang w:val="nl-NL"/>
        </w:rPr>
        <w:t>e</w:t>
      </w:r>
      <w:r>
        <w:rPr>
          <w:color w:val="1F497D"/>
          <w:lang w:val="nl-NL"/>
        </w:rPr>
        <w:t xml:space="preserve"> voorlichting opgedragen aan respectievelijk de Afdeling Advies  “over het omgaan met een vermoeden van een misstand” respectievelijk de Afdeling Onderzoek “het formuleren van algemen</w:t>
      </w:r>
      <w:r w:rsidR="007E6217">
        <w:rPr>
          <w:color w:val="1F497D"/>
          <w:lang w:val="nl-NL"/>
        </w:rPr>
        <w:t>e</w:t>
      </w:r>
      <w:r>
        <w:rPr>
          <w:color w:val="1F497D"/>
          <w:lang w:val="nl-NL"/>
        </w:rPr>
        <w:t xml:space="preserve"> aanbevelingen over het omgaan met een vermoeden van een misstand”. Hoe deze twee bepalingen zich tot elkaar verhouden wordt mij uit de wetsgeschiedenis niet duidelijk. Feit is wel dat na de Kamerbehandeling BIOS is ingevaren in het Huis en dat de opvolger van BIOS, de Afdeling Kennis en Preventie deze taken lijkt te hebben overgenomen.</w:t>
      </w:r>
      <w:r w:rsidR="004806E4">
        <w:rPr>
          <w:color w:val="1F497D"/>
          <w:lang w:val="nl-NL"/>
        </w:rPr>
        <w:t xml:space="preserve"> Op basis waarvan dit is gebeurd is mij niet duidelijk en evenmin of dit niet in</w:t>
      </w:r>
      <w:r w:rsidR="007E6217">
        <w:rPr>
          <w:color w:val="1F497D"/>
          <w:lang w:val="nl-NL"/>
        </w:rPr>
        <w:t xml:space="preserve"> </w:t>
      </w:r>
      <w:r w:rsidR="004806E4">
        <w:rPr>
          <w:color w:val="1F497D"/>
          <w:lang w:val="nl-NL"/>
        </w:rPr>
        <w:t>strijd is met artikel 3a.</w:t>
      </w:r>
      <w:r w:rsidR="00403584">
        <w:rPr>
          <w:color w:val="1F497D"/>
          <w:lang w:val="nl-NL"/>
        </w:rPr>
        <w:t xml:space="preserve"> Dat artikel spreekt over twee afdelingen en niet over drie!</w:t>
      </w:r>
      <w:r w:rsidR="00BE45A5">
        <w:rPr>
          <w:color w:val="1F497D"/>
          <w:lang w:val="nl-NL"/>
        </w:rPr>
        <w:t xml:space="preserve"> </w:t>
      </w:r>
      <w:r w:rsidR="00EB2928">
        <w:rPr>
          <w:color w:val="1F497D"/>
          <w:lang w:val="nl-NL"/>
        </w:rPr>
        <w:t>Bij de Handelingen in de Eerste Kamer laat Van Raak het overigens aan de Minister van BZK over of hij het BIOS bij het Huis wil onderbrengen.</w:t>
      </w:r>
    </w:p>
    <w:p w:rsidR="009B1D7F" w:rsidRDefault="009B1D7F" w:rsidP="009B1D7F">
      <w:pPr>
        <w:rPr>
          <w:color w:val="1F497D"/>
          <w:lang w:val="nl-NL"/>
        </w:rPr>
      </w:pPr>
    </w:p>
    <w:p w:rsidR="00D51141" w:rsidRDefault="009B1D7F" w:rsidP="00D51141">
      <w:pPr>
        <w:pStyle w:val="ListParagraph"/>
        <w:numPr>
          <w:ilvl w:val="0"/>
          <w:numId w:val="2"/>
        </w:numPr>
        <w:rPr>
          <w:b/>
          <w:bCs/>
          <w:color w:val="1F497D"/>
          <w:lang w:val="nl-NL"/>
        </w:rPr>
      </w:pPr>
      <w:r>
        <w:rPr>
          <w:b/>
          <w:bCs/>
          <w:color w:val="1F497D"/>
          <w:lang w:val="nl-NL"/>
        </w:rPr>
        <w:t>Rol voorzitter Huis</w:t>
      </w:r>
    </w:p>
    <w:p w:rsidR="00D51141" w:rsidRDefault="007E6217" w:rsidP="007E6217">
      <w:pPr>
        <w:ind w:left="720"/>
        <w:rPr>
          <w:bCs/>
          <w:color w:val="1F497D"/>
          <w:lang w:val="nl-NL"/>
        </w:rPr>
      </w:pPr>
      <w:r w:rsidRPr="007E6217">
        <w:rPr>
          <w:bCs/>
          <w:color w:val="1F497D"/>
          <w:lang w:val="nl-NL"/>
        </w:rPr>
        <w:t xml:space="preserve">Over de rol van de voorzitter is veel geschreven waarbij </w:t>
      </w:r>
      <w:r>
        <w:rPr>
          <w:bCs/>
          <w:color w:val="1F497D"/>
          <w:lang w:val="nl-NL"/>
        </w:rPr>
        <w:t>later geregeld wordt teruggekomen op een eerder gegeven toelichting. Zie bi</w:t>
      </w:r>
      <w:r w:rsidR="005729FC">
        <w:rPr>
          <w:bCs/>
          <w:color w:val="1F497D"/>
          <w:lang w:val="nl-NL"/>
        </w:rPr>
        <w:t>j</w:t>
      </w:r>
      <w:r>
        <w:rPr>
          <w:bCs/>
          <w:color w:val="1F497D"/>
          <w:lang w:val="nl-NL"/>
        </w:rPr>
        <w:t>voorbeeld de nota naar aanleiding van het verslag (Kamerstukken II, 34105, 9 p.5) waar staat “</w:t>
      </w:r>
      <w:r w:rsidRPr="007E6217">
        <w:rPr>
          <w:bCs/>
          <w:color w:val="1F497D"/>
          <w:lang w:val="nl-NL"/>
        </w:rPr>
        <w:t xml:space="preserve">De voorzitter vervult een onafhankelijke rol en is verantwoordelijk voor het goed functioneren van het Huis. Hij zal de scheiding tussen advies </w:t>
      </w:r>
      <w:r w:rsidRPr="007E6217">
        <w:rPr>
          <w:bCs/>
          <w:color w:val="1F497D"/>
          <w:lang w:val="nl-NL"/>
        </w:rPr>
        <w:lastRenderedPageBreak/>
        <w:t>en onderzoek moeten bewaken en tegelijkertijd moeten zorgen voor synergie, waar dat wenselijk is. Hij zal toezien op efficiëntie en effectiviteit van de beide afdelingen. Binnen het voltallige bestuur wordt niet op casusniveau gesproken. De voorzitter heeft ook g</w:t>
      </w:r>
      <w:r>
        <w:rPr>
          <w:bCs/>
          <w:color w:val="1F497D"/>
          <w:lang w:val="nl-NL"/>
        </w:rPr>
        <w:t xml:space="preserve">een bevoegdheden op casusniveau”. </w:t>
      </w:r>
    </w:p>
    <w:p w:rsidR="007E6217" w:rsidRDefault="007E6217" w:rsidP="007E6217">
      <w:pPr>
        <w:ind w:left="720"/>
        <w:rPr>
          <w:bCs/>
          <w:color w:val="1F497D"/>
          <w:lang w:val="nl-NL"/>
        </w:rPr>
      </w:pPr>
      <w:r>
        <w:rPr>
          <w:bCs/>
          <w:color w:val="1F497D"/>
          <w:lang w:val="nl-NL"/>
        </w:rPr>
        <w:t>Zoals hierboven onder scheiding Advies en Onderzoek,  tweede aliena wordt aangegeven,  wordt in de memorie van antwoord aan de Eerste Kamer gesteld dat de voorzitter zich wel met individuele adviescasus mag bemoeien!</w:t>
      </w:r>
    </w:p>
    <w:p w:rsidR="007E6217" w:rsidRDefault="007E6217" w:rsidP="007E6217">
      <w:pPr>
        <w:ind w:left="720"/>
        <w:rPr>
          <w:bCs/>
          <w:color w:val="1F497D"/>
          <w:lang w:val="nl-NL"/>
        </w:rPr>
      </w:pPr>
      <w:r>
        <w:rPr>
          <w:bCs/>
          <w:color w:val="1F497D"/>
          <w:lang w:val="nl-NL"/>
        </w:rPr>
        <w:t>En om het nog bonter te</w:t>
      </w:r>
      <w:r w:rsidR="002F7C0B">
        <w:rPr>
          <w:bCs/>
          <w:color w:val="1F497D"/>
          <w:lang w:val="nl-NL"/>
        </w:rPr>
        <w:t xml:space="preserve"> </w:t>
      </w:r>
      <w:r>
        <w:rPr>
          <w:bCs/>
          <w:color w:val="1F497D"/>
          <w:lang w:val="nl-NL"/>
        </w:rPr>
        <w:t>mak</w:t>
      </w:r>
      <w:r w:rsidR="002F7C0B">
        <w:rPr>
          <w:bCs/>
          <w:color w:val="1F497D"/>
          <w:lang w:val="nl-NL"/>
        </w:rPr>
        <w:t xml:space="preserve">en in dezelfde memorie van antwoord </w:t>
      </w:r>
      <w:r>
        <w:rPr>
          <w:bCs/>
          <w:color w:val="1F497D"/>
          <w:lang w:val="nl-NL"/>
        </w:rPr>
        <w:t xml:space="preserve">is </w:t>
      </w:r>
      <w:r w:rsidR="002F7C0B">
        <w:rPr>
          <w:bCs/>
          <w:color w:val="1F497D"/>
          <w:lang w:val="nl-NL"/>
        </w:rPr>
        <w:t xml:space="preserve"> op pagina 6 te vinden</w:t>
      </w:r>
    </w:p>
    <w:p w:rsidR="00F94A91" w:rsidRDefault="002F7C0B" w:rsidP="00F94A91">
      <w:pPr>
        <w:ind w:left="720"/>
        <w:rPr>
          <w:bCs/>
          <w:color w:val="1F497D"/>
          <w:lang w:val="nl-NL"/>
        </w:rPr>
      </w:pPr>
      <w:r>
        <w:rPr>
          <w:bCs/>
          <w:color w:val="1F497D"/>
          <w:lang w:val="nl-NL"/>
        </w:rPr>
        <w:t>“</w:t>
      </w:r>
      <w:r w:rsidRPr="002F7C0B">
        <w:rPr>
          <w:bCs/>
          <w:color w:val="1F497D"/>
          <w:lang w:val="nl-NL"/>
        </w:rPr>
        <w:t>Tegelijkertijd moet hij zorgen voor synergie waar dat wenselijk is. Hij kan daartoe zo nodig deelnemen aan bespreking</w:t>
      </w:r>
      <w:r w:rsidR="009A4926">
        <w:rPr>
          <w:bCs/>
          <w:color w:val="1F497D"/>
          <w:lang w:val="nl-NL"/>
        </w:rPr>
        <w:t>en binnen de afdeling onderzoek”.</w:t>
      </w:r>
    </w:p>
    <w:p w:rsidR="00D33EAB" w:rsidRDefault="009A4926" w:rsidP="00D33EAB">
      <w:pPr>
        <w:ind w:left="720"/>
        <w:rPr>
          <w:bCs/>
          <w:color w:val="1F497D"/>
          <w:lang w:val="nl-NL"/>
        </w:rPr>
      </w:pPr>
      <w:r>
        <w:rPr>
          <w:bCs/>
          <w:color w:val="1F497D"/>
          <w:lang w:val="nl-NL"/>
        </w:rPr>
        <w:t>Op vragen van D6</w:t>
      </w:r>
      <w:r w:rsidR="00F41389">
        <w:rPr>
          <w:bCs/>
          <w:color w:val="1F497D"/>
          <w:lang w:val="nl-NL"/>
        </w:rPr>
        <w:t>6 hoe dat nu allemaal moet</w:t>
      </w:r>
      <w:r w:rsidR="00964848">
        <w:rPr>
          <w:bCs/>
          <w:color w:val="1F497D"/>
          <w:lang w:val="nl-NL"/>
        </w:rPr>
        <w:t>,</w:t>
      </w:r>
      <w:r w:rsidR="00F41389">
        <w:rPr>
          <w:bCs/>
          <w:color w:val="1F497D"/>
          <w:lang w:val="nl-NL"/>
        </w:rPr>
        <w:t xml:space="preserve"> verw</w:t>
      </w:r>
      <w:r>
        <w:rPr>
          <w:bCs/>
          <w:color w:val="1F497D"/>
          <w:lang w:val="nl-NL"/>
        </w:rPr>
        <w:t>ijzen Van Raak cs naar het bestuursreglement dat er krachtens artikel 3h van de Wet zou moeten zijn, maar er na 16 maanden nog niet is!</w:t>
      </w:r>
      <w:r w:rsidR="00D33EAB">
        <w:rPr>
          <w:bCs/>
          <w:color w:val="1F497D"/>
          <w:lang w:val="nl-NL"/>
        </w:rPr>
        <w:t xml:space="preserve"> </w:t>
      </w:r>
    </w:p>
    <w:p w:rsidR="00964848" w:rsidRDefault="00F94A91" w:rsidP="00D33EAB">
      <w:pPr>
        <w:ind w:left="720"/>
        <w:rPr>
          <w:bCs/>
          <w:color w:val="1F497D"/>
          <w:lang w:val="nl-NL"/>
        </w:rPr>
      </w:pPr>
      <w:r>
        <w:rPr>
          <w:bCs/>
          <w:color w:val="1F497D"/>
          <w:lang w:val="nl-NL"/>
        </w:rPr>
        <w:t>En dan tot slot de Handelingen Eerste Kamer van 1 maart 2016, p.26:</w:t>
      </w:r>
    </w:p>
    <w:p w:rsidR="00F94A91" w:rsidRDefault="00D33EAB" w:rsidP="00D33EAB">
      <w:pPr>
        <w:ind w:left="720"/>
        <w:rPr>
          <w:rFonts w:asciiTheme="minorHAnsi" w:eastAsia="Times New Roman" w:hAnsiTheme="minorHAnsi" w:cstheme="minorHAnsi"/>
          <w:color w:val="1F497D" w:themeColor="text2"/>
          <w:lang w:val="nl-NL"/>
        </w:rPr>
      </w:pPr>
      <w:r>
        <w:rPr>
          <w:rFonts w:ascii="Times New Roman" w:eastAsia="Times New Roman" w:hAnsi="Times New Roman" w:cs="Times New Roman"/>
          <w:sz w:val="24"/>
          <w:szCs w:val="24"/>
          <w:lang w:val="nl-NL"/>
        </w:rPr>
        <w:t>“</w:t>
      </w:r>
      <w:r w:rsidR="00F94A91" w:rsidRPr="00F94A91">
        <w:rPr>
          <w:rFonts w:asciiTheme="minorHAnsi" w:eastAsia="Times New Roman" w:hAnsiTheme="minorHAnsi" w:cstheme="minorHAnsi"/>
          <w:color w:val="1F497D" w:themeColor="text2"/>
          <w:lang w:val="nl-NL"/>
        </w:rPr>
        <w:t>De verantwoordelijkheid voor het goed functioneren van het Huis is in handen van de voorzitter. De voorzitter heeft geen bevoegdheden op individueel casusniveau</w:t>
      </w:r>
      <w:r>
        <w:rPr>
          <w:rFonts w:asciiTheme="minorHAnsi" w:eastAsia="Times New Roman" w:hAnsiTheme="minorHAnsi" w:cstheme="minorHAnsi"/>
          <w:color w:val="1F497D" w:themeColor="text2"/>
          <w:lang w:val="nl-NL"/>
        </w:rPr>
        <w:t>”</w:t>
      </w:r>
      <w:r w:rsidR="00F94A91" w:rsidRPr="00F94A91">
        <w:rPr>
          <w:rFonts w:asciiTheme="minorHAnsi" w:eastAsia="Times New Roman" w:hAnsiTheme="minorHAnsi" w:cstheme="minorHAnsi"/>
          <w:color w:val="1F497D" w:themeColor="text2"/>
          <w:lang w:val="nl-NL"/>
        </w:rPr>
        <w:t>.</w:t>
      </w:r>
    </w:p>
    <w:p w:rsidR="002762E7" w:rsidRDefault="002762E7" w:rsidP="002762E7">
      <w:pPr>
        <w:ind w:left="720"/>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En dan verderop in dezelfde Handelingen (p. 31):</w:t>
      </w:r>
    </w:p>
    <w:p w:rsidR="002762E7" w:rsidRPr="002762E7" w:rsidRDefault="002762E7" w:rsidP="002762E7">
      <w:pPr>
        <w:ind w:left="720"/>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w:t>
      </w:r>
      <w:r w:rsidRPr="002762E7">
        <w:rPr>
          <w:rFonts w:asciiTheme="minorHAnsi" w:eastAsia="Times New Roman" w:hAnsiTheme="minorHAnsi" w:cstheme="minorHAnsi"/>
          <w:color w:val="1F497D" w:themeColor="text2"/>
          <w:lang w:val="nl-NL"/>
        </w:rPr>
        <w:t xml:space="preserve">De heer </w:t>
      </w:r>
      <w:r w:rsidRPr="002762E7">
        <w:rPr>
          <w:rFonts w:asciiTheme="minorHAnsi" w:eastAsia="Times New Roman" w:hAnsiTheme="minorHAnsi" w:cstheme="minorHAnsi"/>
          <w:b/>
          <w:bCs/>
          <w:color w:val="1F497D" w:themeColor="text2"/>
          <w:lang w:val="nl-NL"/>
        </w:rPr>
        <w:t>Van Raak</w:t>
      </w:r>
      <w:r w:rsidRPr="002762E7">
        <w:rPr>
          <w:rFonts w:asciiTheme="minorHAnsi" w:eastAsia="Times New Roman" w:hAnsiTheme="minorHAnsi" w:cstheme="minorHAnsi"/>
          <w:color w:val="1F497D" w:themeColor="text2"/>
          <w:lang w:val="nl-NL"/>
        </w:rPr>
        <w:t>:</w:t>
      </w:r>
    </w:p>
    <w:p w:rsidR="002762E7" w:rsidRDefault="002762E7" w:rsidP="002762E7">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2762E7">
        <w:rPr>
          <w:rFonts w:asciiTheme="minorHAnsi" w:eastAsia="Times New Roman" w:hAnsiTheme="minorHAnsi" w:cstheme="minorHAnsi"/>
          <w:color w:val="1F497D" w:themeColor="text2"/>
          <w:lang w:val="nl-NL"/>
        </w:rPr>
        <w:t xml:space="preserve">De voorzitter speelt een belangrijke rol in het advies, om ervoor te zorgen dat de kwaliteit </w:t>
      </w:r>
      <w:r>
        <w:rPr>
          <w:rFonts w:asciiTheme="minorHAnsi" w:eastAsia="Times New Roman" w:hAnsiTheme="minorHAnsi" w:cstheme="minorHAnsi"/>
          <w:color w:val="1F497D" w:themeColor="text2"/>
          <w:lang w:val="nl-NL"/>
        </w:rPr>
        <w:t xml:space="preserve">         </w:t>
      </w:r>
    </w:p>
    <w:p w:rsidR="002762E7" w:rsidRDefault="00052235" w:rsidP="002762E7">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002762E7" w:rsidRPr="002762E7">
        <w:rPr>
          <w:rFonts w:asciiTheme="minorHAnsi" w:eastAsia="Times New Roman" w:hAnsiTheme="minorHAnsi" w:cstheme="minorHAnsi"/>
          <w:color w:val="1F497D" w:themeColor="text2"/>
          <w:lang w:val="nl-NL"/>
        </w:rPr>
        <w:t xml:space="preserve">wordt bewaakt, de zorgvuldigheid wordt bewaakt en iedereen zich aan de wettelijke kaders </w:t>
      </w:r>
    </w:p>
    <w:p w:rsidR="00052235" w:rsidRDefault="002762E7" w:rsidP="00052235">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2762E7">
        <w:rPr>
          <w:rFonts w:asciiTheme="minorHAnsi" w:eastAsia="Times New Roman" w:hAnsiTheme="minorHAnsi" w:cstheme="minorHAnsi"/>
          <w:color w:val="1F497D" w:themeColor="text2"/>
          <w:lang w:val="nl-NL"/>
        </w:rPr>
        <w:t>houdt, die niet heel eenvoudig zijn. Op casusnive</w:t>
      </w:r>
      <w:r w:rsidR="00052235">
        <w:rPr>
          <w:rFonts w:asciiTheme="minorHAnsi" w:eastAsia="Times New Roman" w:hAnsiTheme="minorHAnsi" w:cstheme="minorHAnsi"/>
          <w:color w:val="1F497D" w:themeColor="text2"/>
          <w:lang w:val="nl-NL"/>
        </w:rPr>
        <w:t>au heeft de voorzitter geen rol</w:t>
      </w:r>
      <w:r w:rsidR="00964848">
        <w:rPr>
          <w:rFonts w:asciiTheme="minorHAnsi" w:eastAsia="Times New Roman" w:hAnsiTheme="minorHAnsi" w:cstheme="minorHAnsi"/>
          <w:color w:val="1F497D" w:themeColor="text2"/>
          <w:lang w:val="nl-NL"/>
        </w:rPr>
        <w:t>.</w:t>
      </w:r>
    </w:p>
    <w:p w:rsidR="002762E7" w:rsidRPr="002762E7" w:rsidRDefault="00052235" w:rsidP="00052235">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002762E7" w:rsidRPr="002762E7">
        <w:rPr>
          <w:rFonts w:asciiTheme="minorHAnsi" w:eastAsia="Times New Roman" w:hAnsiTheme="minorHAnsi" w:cstheme="minorHAnsi"/>
          <w:color w:val="1F497D" w:themeColor="text2"/>
          <w:lang w:val="nl-NL"/>
        </w:rPr>
        <w:t xml:space="preserve">De heer </w:t>
      </w:r>
      <w:r w:rsidR="002762E7" w:rsidRPr="002762E7">
        <w:rPr>
          <w:rFonts w:asciiTheme="minorHAnsi" w:eastAsia="Times New Roman" w:hAnsiTheme="minorHAnsi" w:cstheme="minorHAnsi"/>
          <w:b/>
          <w:bCs/>
          <w:color w:val="1F497D" w:themeColor="text2"/>
          <w:lang w:val="nl-NL"/>
        </w:rPr>
        <w:t>De Graaf</w:t>
      </w:r>
      <w:r w:rsidR="002762E7" w:rsidRPr="002762E7">
        <w:rPr>
          <w:rFonts w:asciiTheme="minorHAnsi" w:eastAsia="Times New Roman" w:hAnsiTheme="minorHAnsi" w:cstheme="minorHAnsi"/>
          <w:color w:val="1F497D" w:themeColor="text2"/>
          <w:lang w:val="nl-NL"/>
        </w:rPr>
        <w:t xml:space="preserve"> (D66):</w:t>
      </w:r>
    </w:p>
    <w:p w:rsidR="00BF79D3" w:rsidRDefault="002762E7" w:rsidP="00BF79D3">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2762E7">
        <w:rPr>
          <w:rFonts w:asciiTheme="minorHAnsi" w:eastAsia="Times New Roman" w:hAnsiTheme="minorHAnsi" w:cstheme="minorHAnsi"/>
          <w:color w:val="1F497D" w:themeColor="text2"/>
          <w:lang w:val="nl-NL"/>
        </w:rPr>
        <w:t xml:space="preserve">Dan moet u uw eigen memorie van antwoord nog eens nalezen, want daarin zegt u precies </w:t>
      </w:r>
    </w:p>
    <w:p w:rsidR="002762E7" w:rsidRDefault="00BF79D3" w:rsidP="00BF79D3">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2762E7">
        <w:rPr>
          <w:rFonts w:asciiTheme="minorHAnsi" w:eastAsia="Times New Roman" w:hAnsiTheme="minorHAnsi" w:cstheme="minorHAnsi"/>
          <w:color w:val="1F497D" w:themeColor="text2"/>
          <w:lang w:val="nl-NL"/>
        </w:rPr>
        <w:t xml:space="preserve">het tegenovergestelde. Ik wil wel graag eenheid van opvatting hebben. U zegt daarin echt: </w:t>
      </w:r>
    </w:p>
    <w:p w:rsidR="00BF79D3" w:rsidRDefault="00BF79D3" w:rsidP="00BF79D3">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2762E7">
        <w:rPr>
          <w:rFonts w:asciiTheme="minorHAnsi" w:eastAsia="Times New Roman" w:hAnsiTheme="minorHAnsi" w:cstheme="minorHAnsi"/>
          <w:color w:val="1F497D" w:themeColor="text2"/>
          <w:lang w:val="nl-NL"/>
        </w:rPr>
        <w:t xml:space="preserve">twee bestuurders die overleggen over een advies, zo nodig met de voorzitter. Dus dan wordt </w:t>
      </w:r>
    </w:p>
    <w:p w:rsidR="00052235" w:rsidRDefault="00BF79D3" w:rsidP="00052235">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2762E7">
        <w:rPr>
          <w:rFonts w:asciiTheme="minorHAnsi" w:eastAsia="Times New Roman" w:hAnsiTheme="minorHAnsi" w:cstheme="minorHAnsi"/>
          <w:color w:val="1F497D" w:themeColor="text2"/>
          <w:lang w:val="nl-NL"/>
        </w:rPr>
        <w:t>ook door de voorzitter op i</w:t>
      </w:r>
      <w:r w:rsidR="00052235">
        <w:rPr>
          <w:rFonts w:asciiTheme="minorHAnsi" w:eastAsia="Times New Roman" w:hAnsiTheme="minorHAnsi" w:cstheme="minorHAnsi"/>
          <w:color w:val="1F497D" w:themeColor="text2"/>
          <w:lang w:val="nl-NL"/>
        </w:rPr>
        <w:t>ndividueel casusniveau overleg</w:t>
      </w:r>
      <w:r w:rsidR="00964848">
        <w:rPr>
          <w:rFonts w:asciiTheme="minorHAnsi" w:eastAsia="Times New Roman" w:hAnsiTheme="minorHAnsi" w:cstheme="minorHAnsi"/>
          <w:color w:val="1F497D" w:themeColor="text2"/>
          <w:lang w:val="nl-NL"/>
        </w:rPr>
        <w:t>d</w:t>
      </w:r>
      <w:r w:rsidR="00052235">
        <w:rPr>
          <w:rFonts w:asciiTheme="minorHAnsi" w:eastAsia="Times New Roman" w:hAnsiTheme="minorHAnsi" w:cstheme="minorHAnsi"/>
          <w:color w:val="1F497D" w:themeColor="text2"/>
          <w:lang w:val="nl-NL"/>
        </w:rPr>
        <w:t>.</w:t>
      </w:r>
    </w:p>
    <w:p w:rsidR="002762E7" w:rsidRPr="002762E7" w:rsidRDefault="00052235" w:rsidP="00052235">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002762E7" w:rsidRPr="002762E7">
        <w:rPr>
          <w:rFonts w:asciiTheme="minorHAnsi" w:eastAsia="Times New Roman" w:hAnsiTheme="minorHAnsi" w:cstheme="minorHAnsi"/>
          <w:color w:val="1F497D" w:themeColor="text2"/>
          <w:lang w:val="nl-NL"/>
        </w:rPr>
        <w:t xml:space="preserve">De heer </w:t>
      </w:r>
      <w:r w:rsidR="002762E7" w:rsidRPr="002762E7">
        <w:rPr>
          <w:rFonts w:asciiTheme="minorHAnsi" w:eastAsia="Times New Roman" w:hAnsiTheme="minorHAnsi" w:cstheme="minorHAnsi"/>
          <w:b/>
          <w:bCs/>
          <w:color w:val="1F497D" w:themeColor="text2"/>
          <w:lang w:val="nl-NL"/>
        </w:rPr>
        <w:t>Van Raak</w:t>
      </w:r>
      <w:r w:rsidR="002762E7" w:rsidRPr="002762E7">
        <w:rPr>
          <w:rFonts w:asciiTheme="minorHAnsi" w:eastAsia="Times New Roman" w:hAnsiTheme="minorHAnsi" w:cstheme="minorHAnsi"/>
          <w:color w:val="1F497D" w:themeColor="text2"/>
          <w:lang w:val="nl-NL"/>
        </w:rPr>
        <w:t>:</w:t>
      </w:r>
    </w:p>
    <w:p w:rsidR="00BF79D3" w:rsidRDefault="00BF79D3" w:rsidP="00BF79D3">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2762E7">
        <w:rPr>
          <w:rFonts w:asciiTheme="minorHAnsi" w:eastAsia="Times New Roman" w:hAnsiTheme="minorHAnsi" w:cstheme="minorHAnsi"/>
          <w:color w:val="1F497D" w:themeColor="text2"/>
          <w:lang w:val="nl-NL"/>
        </w:rPr>
        <w:t xml:space="preserve">Bedoeld is daar de zorgvuldigheid en de kwaliteit, en de bewakende rol van de voorzitter. </w:t>
      </w:r>
    </w:p>
    <w:p w:rsidR="00BF79D3" w:rsidRPr="002762E7" w:rsidRDefault="00BF79D3" w:rsidP="00BF79D3">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2762E7">
        <w:rPr>
          <w:rFonts w:asciiTheme="minorHAnsi" w:eastAsia="Times New Roman" w:hAnsiTheme="minorHAnsi" w:cstheme="minorHAnsi"/>
          <w:color w:val="1F497D" w:themeColor="text2"/>
          <w:lang w:val="nl-NL"/>
        </w:rPr>
        <w:t xml:space="preserve">Bedoeld is daar niet om in individuele casussen te beoordelen of te kijken. Dat is niet nodig. </w:t>
      </w:r>
    </w:p>
    <w:p w:rsidR="00052235" w:rsidRDefault="00BF79D3" w:rsidP="00D33EAB">
      <w:pPr>
        <w:ind w:left="720"/>
        <w:rPr>
          <w:rFonts w:asciiTheme="minorHAnsi" w:eastAsia="Times New Roman" w:hAnsiTheme="minorHAnsi" w:cstheme="minorHAnsi"/>
          <w:color w:val="1F497D" w:themeColor="text2"/>
          <w:lang w:val="nl-NL"/>
        </w:rPr>
      </w:pPr>
      <w:r w:rsidRPr="002762E7">
        <w:rPr>
          <w:rFonts w:asciiTheme="minorHAnsi" w:eastAsia="Times New Roman" w:hAnsiTheme="minorHAnsi" w:cstheme="minorHAnsi"/>
          <w:color w:val="1F497D" w:themeColor="text2"/>
          <w:lang w:val="nl-NL"/>
        </w:rPr>
        <w:t>Dat past ook niet bij de rol van de adviseurs</w:t>
      </w:r>
      <w:r>
        <w:rPr>
          <w:rFonts w:asciiTheme="minorHAnsi" w:eastAsia="Times New Roman" w:hAnsiTheme="minorHAnsi" w:cstheme="minorHAnsi"/>
          <w:color w:val="1F497D" w:themeColor="text2"/>
          <w:lang w:val="nl-NL"/>
        </w:rPr>
        <w:t>”.</w:t>
      </w:r>
    </w:p>
    <w:p w:rsidR="00052235" w:rsidRPr="00052235" w:rsidRDefault="00BF79D3" w:rsidP="00052235">
      <w:pPr>
        <w:rPr>
          <w:rFonts w:asciiTheme="minorHAnsi" w:eastAsia="Times New Roman" w:hAnsiTheme="minorHAnsi" w:cstheme="minorHAnsi"/>
          <w:color w:val="1F497D" w:themeColor="text2"/>
          <w:lang w:val="nl-NL"/>
        </w:rPr>
      </w:pPr>
      <w:r w:rsidRPr="00052235">
        <w:rPr>
          <w:rFonts w:asciiTheme="minorHAnsi" w:eastAsia="Times New Roman" w:hAnsiTheme="minorHAnsi" w:cstheme="minorHAnsi"/>
          <w:color w:val="1F497D" w:themeColor="text2"/>
          <w:lang w:val="nl-NL"/>
        </w:rPr>
        <w:t xml:space="preserve"> </w:t>
      </w:r>
      <w:r w:rsidR="00052235">
        <w:rPr>
          <w:rFonts w:asciiTheme="minorHAnsi" w:eastAsia="Times New Roman" w:hAnsiTheme="minorHAnsi" w:cstheme="minorHAnsi"/>
          <w:color w:val="1F497D" w:themeColor="text2"/>
          <w:lang w:val="nl-NL"/>
        </w:rPr>
        <w:t xml:space="preserve">              “</w:t>
      </w:r>
      <w:r w:rsidR="00052235" w:rsidRPr="00052235">
        <w:rPr>
          <w:rFonts w:asciiTheme="minorHAnsi" w:eastAsia="Times New Roman" w:hAnsiTheme="minorHAnsi" w:cstheme="minorHAnsi"/>
          <w:color w:val="1F497D" w:themeColor="text2"/>
          <w:lang w:val="nl-NL"/>
        </w:rPr>
        <w:t xml:space="preserve">De heer </w:t>
      </w:r>
      <w:r w:rsidR="00052235" w:rsidRPr="00052235">
        <w:rPr>
          <w:rFonts w:asciiTheme="minorHAnsi" w:eastAsia="Times New Roman" w:hAnsiTheme="minorHAnsi" w:cstheme="minorHAnsi"/>
          <w:b/>
          <w:bCs/>
          <w:color w:val="1F497D" w:themeColor="text2"/>
          <w:lang w:val="nl-NL"/>
        </w:rPr>
        <w:t>De Graaf</w:t>
      </w:r>
      <w:r w:rsidR="00052235" w:rsidRPr="00052235">
        <w:rPr>
          <w:rFonts w:asciiTheme="minorHAnsi" w:eastAsia="Times New Roman" w:hAnsiTheme="minorHAnsi" w:cstheme="minorHAnsi"/>
          <w:color w:val="1F497D" w:themeColor="text2"/>
          <w:lang w:val="nl-NL"/>
        </w:rPr>
        <w:t xml:space="preserve"> (D66):</w:t>
      </w:r>
    </w:p>
    <w:p w:rsidR="00052235" w:rsidRDefault="00052235" w:rsidP="00052235">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052235">
        <w:rPr>
          <w:rFonts w:asciiTheme="minorHAnsi" w:eastAsia="Times New Roman" w:hAnsiTheme="minorHAnsi" w:cstheme="minorHAnsi"/>
          <w:color w:val="1F497D" w:themeColor="text2"/>
          <w:lang w:val="nl-NL"/>
        </w:rPr>
        <w:t xml:space="preserve">Dan zouden we hier dus nu kunnen vaststellen dat de authentieke interpretatie van de </w:t>
      </w:r>
    </w:p>
    <w:p w:rsidR="00052235" w:rsidRDefault="00052235" w:rsidP="00052235">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052235">
        <w:rPr>
          <w:rFonts w:asciiTheme="minorHAnsi" w:eastAsia="Times New Roman" w:hAnsiTheme="minorHAnsi" w:cstheme="minorHAnsi"/>
          <w:color w:val="1F497D" w:themeColor="text2"/>
          <w:lang w:val="nl-NL"/>
        </w:rPr>
        <w:t xml:space="preserve">indieners en van deze Kamer is dat de voorzitter géén rol heeft in het individuele traject in </w:t>
      </w:r>
      <w:r>
        <w:rPr>
          <w:rFonts w:asciiTheme="minorHAnsi" w:eastAsia="Times New Roman" w:hAnsiTheme="minorHAnsi" w:cstheme="minorHAnsi"/>
          <w:color w:val="1F497D" w:themeColor="text2"/>
          <w:lang w:val="nl-NL"/>
        </w:rPr>
        <w:t xml:space="preserve">  </w:t>
      </w:r>
    </w:p>
    <w:p w:rsidR="00052235" w:rsidRDefault="00052235" w:rsidP="00052235">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052235">
        <w:rPr>
          <w:rFonts w:asciiTheme="minorHAnsi" w:eastAsia="Times New Roman" w:hAnsiTheme="minorHAnsi" w:cstheme="minorHAnsi"/>
          <w:color w:val="1F497D" w:themeColor="text2"/>
          <w:lang w:val="nl-NL"/>
        </w:rPr>
        <w:t xml:space="preserve">de adviessfeer, en dus ook niet wordt betrokken bij die individuele casus door de andere </w:t>
      </w:r>
      <w:r>
        <w:rPr>
          <w:rFonts w:asciiTheme="minorHAnsi" w:eastAsia="Times New Roman" w:hAnsiTheme="minorHAnsi" w:cstheme="minorHAnsi"/>
          <w:color w:val="1F497D" w:themeColor="text2"/>
          <w:lang w:val="nl-NL"/>
        </w:rPr>
        <w:t xml:space="preserve"> </w:t>
      </w:r>
    </w:p>
    <w:p w:rsidR="00052235" w:rsidRDefault="00052235" w:rsidP="00052235">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052235">
        <w:rPr>
          <w:rFonts w:asciiTheme="minorHAnsi" w:eastAsia="Times New Roman" w:hAnsiTheme="minorHAnsi" w:cstheme="minorHAnsi"/>
          <w:color w:val="1F497D" w:themeColor="text2"/>
          <w:lang w:val="nl-NL"/>
        </w:rPr>
        <w:t>bestuurders.</w:t>
      </w:r>
      <w:r>
        <w:rPr>
          <w:rFonts w:asciiTheme="minorHAnsi" w:eastAsia="Times New Roman" w:hAnsiTheme="minorHAnsi" w:cstheme="minorHAnsi"/>
          <w:color w:val="1F497D" w:themeColor="text2"/>
          <w:lang w:val="nl-NL"/>
        </w:rPr>
        <w:t xml:space="preserve">              </w:t>
      </w:r>
    </w:p>
    <w:p w:rsidR="00052235" w:rsidRPr="00052235" w:rsidRDefault="00052235" w:rsidP="00052235">
      <w:pPr>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 xml:space="preserve">               </w:t>
      </w:r>
      <w:r w:rsidRPr="00052235">
        <w:rPr>
          <w:rFonts w:asciiTheme="minorHAnsi" w:eastAsia="Times New Roman" w:hAnsiTheme="minorHAnsi" w:cstheme="minorHAnsi"/>
          <w:color w:val="1F497D" w:themeColor="text2"/>
          <w:lang w:val="nl-NL"/>
        </w:rPr>
        <w:t xml:space="preserve">De heer </w:t>
      </w:r>
      <w:r w:rsidRPr="00052235">
        <w:rPr>
          <w:rFonts w:asciiTheme="minorHAnsi" w:eastAsia="Times New Roman" w:hAnsiTheme="minorHAnsi" w:cstheme="minorHAnsi"/>
          <w:b/>
          <w:bCs/>
          <w:color w:val="1F497D" w:themeColor="text2"/>
          <w:lang w:val="nl-NL"/>
        </w:rPr>
        <w:t>Van Raak</w:t>
      </w:r>
      <w:r w:rsidRPr="00052235">
        <w:rPr>
          <w:rFonts w:asciiTheme="minorHAnsi" w:eastAsia="Times New Roman" w:hAnsiTheme="minorHAnsi" w:cstheme="minorHAnsi"/>
          <w:color w:val="1F497D" w:themeColor="text2"/>
          <w:lang w:val="nl-NL"/>
        </w:rPr>
        <w:t>:</w:t>
      </w:r>
    </w:p>
    <w:p w:rsidR="002762E7" w:rsidRPr="00052235" w:rsidRDefault="00052235" w:rsidP="00052235">
      <w:pPr>
        <w:ind w:left="720"/>
        <w:rPr>
          <w:rFonts w:asciiTheme="minorHAnsi" w:eastAsia="Times New Roman" w:hAnsiTheme="minorHAnsi" w:cstheme="minorHAnsi"/>
          <w:color w:val="1F497D" w:themeColor="text2"/>
          <w:lang w:val="nl-NL"/>
        </w:rPr>
      </w:pPr>
      <w:r w:rsidRPr="00052235">
        <w:rPr>
          <w:rFonts w:asciiTheme="minorHAnsi" w:eastAsia="Times New Roman" w:hAnsiTheme="minorHAnsi" w:cstheme="minorHAnsi"/>
          <w:color w:val="1F497D" w:themeColor="text2"/>
          <w:lang w:val="nl-NL"/>
        </w:rPr>
        <w:t>Ja, want dat is niet nodig. Ik zou het ook goed vinden als dat verder wordt uitgewerkt in het bestuursreglement dat op grond van deze wet moet worden opgesteld en aan de minister wordt voorgelegd</w:t>
      </w:r>
      <w:r>
        <w:rPr>
          <w:rFonts w:asciiTheme="minorHAnsi" w:eastAsia="Times New Roman" w:hAnsiTheme="minorHAnsi" w:cstheme="minorHAnsi"/>
          <w:color w:val="1F497D" w:themeColor="text2"/>
          <w:lang w:val="nl-NL"/>
        </w:rPr>
        <w:t>”</w:t>
      </w:r>
    </w:p>
    <w:p w:rsidR="00BF79D3" w:rsidRDefault="00BF79D3" w:rsidP="00D33EAB">
      <w:pPr>
        <w:ind w:left="720"/>
        <w:rPr>
          <w:rFonts w:asciiTheme="minorHAnsi" w:eastAsia="Times New Roman" w:hAnsiTheme="minorHAnsi" w:cstheme="minorHAnsi"/>
          <w:color w:val="1F497D" w:themeColor="text2"/>
          <w:lang w:val="nl-NL"/>
        </w:rPr>
      </w:pPr>
    </w:p>
    <w:p w:rsidR="00154E76" w:rsidRDefault="00154E76" w:rsidP="00D33EAB">
      <w:pPr>
        <w:ind w:left="720"/>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En zo gaat het maar door op de volgende pagina’s van de Handelingen</w:t>
      </w:r>
      <w:r w:rsidR="00964848">
        <w:rPr>
          <w:rFonts w:asciiTheme="minorHAnsi" w:eastAsia="Times New Roman" w:hAnsiTheme="minorHAnsi" w:cstheme="minorHAnsi"/>
          <w:color w:val="1F497D" w:themeColor="text2"/>
          <w:lang w:val="nl-NL"/>
        </w:rPr>
        <w:t>,</w:t>
      </w:r>
      <w:r>
        <w:rPr>
          <w:rFonts w:asciiTheme="minorHAnsi" w:eastAsia="Times New Roman" w:hAnsiTheme="minorHAnsi" w:cstheme="minorHAnsi"/>
          <w:color w:val="1F497D" w:themeColor="text2"/>
          <w:lang w:val="nl-NL"/>
        </w:rPr>
        <w:t xml:space="preserve"> </w:t>
      </w:r>
      <w:r w:rsidR="004E3A1D">
        <w:rPr>
          <w:rFonts w:asciiTheme="minorHAnsi" w:eastAsia="Times New Roman" w:hAnsiTheme="minorHAnsi" w:cstheme="minorHAnsi"/>
          <w:color w:val="1F497D" w:themeColor="text2"/>
          <w:lang w:val="nl-NL"/>
        </w:rPr>
        <w:t xml:space="preserve">nu </w:t>
      </w:r>
      <w:r>
        <w:rPr>
          <w:rFonts w:asciiTheme="minorHAnsi" w:eastAsia="Times New Roman" w:hAnsiTheme="minorHAnsi" w:cstheme="minorHAnsi"/>
          <w:color w:val="1F497D" w:themeColor="text2"/>
          <w:lang w:val="nl-NL"/>
        </w:rPr>
        <w:t>over de betrokkenheid van de voorzitter bij onderzoek.</w:t>
      </w:r>
    </w:p>
    <w:p w:rsidR="00154E76" w:rsidRDefault="00964848" w:rsidP="00D33EAB">
      <w:pPr>
        <w:ind w:left="720"/>
        <w:rPr>
          <w:rFonts w:asciiTheme="minorHAnsi" w:eastAsia="Times New Roman" w:hAnsiTheme="minorHAnsi" w:cstheme="minorHAnsi"/>
          <w:color w:val="1F497D" w:themeColor="text2"/>
          <w:lang w:val="nl-NL"/>
        </w:rPr>
      </w:pPr>
      <w:r>
        <w:rPr>
          <w:rFonts w:asciiTheme="minorHAnsi" w:eastAsia="Times New Roman" w:hAnsiTheme="minorHAnsi" w:cstheme="minorHAnsi"/>
          <w:color w:val="1F497D" w:themeColor="text2"/>
          <w:lang w:val="nl-NL"/>
        </w:rPr>
        <w:t>“</w:t>
      </w:r>
      <w:r w:rsidR="00154E76">
        <w:rPr>
          <w:rFonts w:asciiTheme="minorHAnsi" w:eastAsia="Times New Roman" w:hAnsiTheme="minorHAnsi" w:cstheme="minorHAnsi"/>
          <w:color w:val="1F497D" w:themeColor="text2"/>
          <w:lang w:val="nl-NL"/>
        </w:rPr>
        <w:t xml:space="preserve">De heer </w:t>
      </w:r>
      <w:r w:rsidR="00154E76" w:rsidRPr="004E3A1D">
        <w:rPr>
          <w:rFonts w:asciiTheme="minorHAnsi" w:eastAsia="Times New Roman" w:hAnsiTheme="minorHAnsi" w:cstheme="minorHAnsi"/>
          <w:b/>
          <w:color w:val="1F497D" w:themeColor="text2"/>
          <w:lang w:val="nl-NL"/>
        </w:rPr>
        <w:t>Van Raak</w:t>
      </w:r>
      <w:r w:rsidR="00154E76">
        <w:rPr>
          <w:rFonts w:asciiTheme="minorHAnsi" w:eastAsia="Times New Roman" w:hAnsiTheme="minorHAnsi" w:cstheme="minorHAnsi"/>
          <w:color w:val="1F497D" w:themeColor="text2"/>
          <w:lang w:val="nl-NL"/>
        </w:rPr>
        <w:t>:</w:t>
      </w:r>
    </w:p>
    <w:p w:rsidR="00154E76" w:rsidRPr="00154E76" w:rsidRDefault="00154E76" w:rsidP="00D33EAB">
      <w:pPr>
        <w:ind w:left="720"/>
        <w:rPr>
          <w:rFonts w:asciiTheme="minorHAnsi" w:eastAsia="Times New Roman" w:hAnsiTheme="minorHAnsi" w:cstheme="minorHAnsi"/>
          <w:color w:val="1F497D" w:themeColor="text2"/>
          <w:lang w:val="nl-NL"/>
        </w:rPr>
      </w:pPr>
      <w:r w:rsidRPr="00154E76">
        <w:rPr>
          <w:rFonts w:asciiTheme="minorHAnsi" w:eastAsia="Times New Roman" w:hAnsiTheme="minorHAnsi" w:cstheme="minorHAnsi"/>
          <w:color w:val="1F497D" w:themeColor="text2"/>
          <w:lang w:val="nl-NL"/>
        </w:rPr>
        <w:t>Op het moment dat aanbevelingen moeten worden uitgevoerd, zie ik nadrukkelijk wel een rol voor de voorzitter weggelegd. Dergelijke zaken worden hier in het debat gewisseld, maar worden uiteindelijk vastgelegd in een bestuursreglement, waarin de minister een rol speelt, en in een adviesprotocol en een onderzoeksprotocol. Dan zitten we eigenlijk al in de fase van inrichting van het Huis</w:t>
      </w:r>
      <w:r>
        <w:rPr>
          <w:rFonts w:asciiTheme="minorHAnsi" w:eastAsia="Times New Roman" w:hAnsiTheme="minorHAnsi" w:cstheme="minorHAnsi"/>
          <w:color w:val="1F497D" w:themeColor="text2"/>
          <w:lang w:val="nl-NL"/>
        </w:rPr>
        <w:t>”</w:t>
      </w:r>
      <w:r w:rsidRPr="00154E76">
        <w:rPr>
          <w:rFonts w:asciiTheme="minorHAnsi" w:eastAsia="Times New Roman" w:hAnsiTheme="minorHAnsi" w:cstheme="minorHAnsi"/>
          <w:color w:val="1F497D" w:themeColor="text2"/>
          <w:lang w:val="nl-NL"/>
        </w:rPr>
        <w:t>.</w:t>
      </w:r>
    </w:p>
    <w:p w:rsidR="00154E76" w:rsidRPr="00052235" w:rsidRDefault="00154E76" w:rsidP="00D33EAB">
      <w:pPr>
        <w:ind w:left="720"/>
        <w:rPr>
          <w:rFonts w:asciiTheme="minorHAnsi" w:eastAsia="Times New Roman" w:hAnsiTheme="minorHAnsi" w:cstheme="minorHAnsi"/>
          <w:color w:val="1F497D" w:themeColor="text2"/>
          <w:lang w:val="nl-NL"/>
        </w:rPr>
      </w:pPr>
    </w:p>
    <w:p w:rsidR="00D51141" w:rsidRPr="00D33EAB" w:rsidRDefault="004E3A1D" w:rsidP="00D33EAB">
      <w:pPr>
        <w:ind w:left="720"/>
        <w:rPr>
          <w:bCs/>
          <w:color w:val="1F497D"/>
          <w:lang w:val="nl-NL"/>
        </w:rPr>
      </w:pPr>
      <w:r>
        <w:rPr>
          <w:rFonts w:asciiTheme="minorHAnsi" w:eastAsia="Times New Roman" w:hAnsiTheme="minorHAnsi" w:cstheme="minorHAnsi"/>
          <w:color w:val="1F497D" w:themeColor="text2"/>
          <w:lang w:val="nl-NL"/>
        </w:rPr>
        <w:lastRenderedPageBreak/>
        <w:t xml:space="preserve">Het </w:t>
      </w:r>
      <w:r w:rsidR="0015606E">
        <w:rPr>
          <w:rFonts w:asciiTheme="minorHAnsi" w:eastAsia="Times New Roman" w:hAnsiTheme="minorHAnsi" w:cstheme="minorHAnsi"/>
          <w:color w:val="1F497D" w:themeColor="text2"/>
          <w:lang w:val="nl-NL"/>
        </w:rPr>
        <w:t xml:space="preserve">hierboven genoemde </w:t>
      </w:r>
      <w:r w:rsidR="00052235">
        <w:rPr>
          <w:rFonts w:asciiTheme="minorHAnsi" w:eastAsia="Times New Roman" w:hAnsiTheme="minorHAnsi" w:cstheme="minorHAnsi"/>
          <w:color w:val="1F497D" w:themeColor="text2"/>
          <w:lang w:val="nl-NL"/>
        </w:rPr>
        <w:t xml:space="preserve">bestuursreglement </w:t>
      </w:r>
      <w:r w:rsidR="00154E76">
        <w:rPr>
          <w:rFonts w:asciiTheme="minorHAnsi" w:eastAsia="Times New Roman" w:hAnsiTheme="minorHAnsi" w:cstheme="minorHAnsi"/>
          <w:color w:val="1F497D" w:themeColor="text2"/>
          <w:lang w:val="nl-NL"/>
        </w:rPr>
        <w:t xml:space="preserve"> en protocollen zijn</w:t>
      </w:r>
      <w:r>
        <w:rPr>
          <w:rFonts w:asciiTheme="minorHAnsi" w:eastAsia="Times New Roman" w:hAnsiTheme="minorHAnsi" w:cstheme="minorHAnsi"/>
          <w:color w:val="1F497D" w:themeColor="text2"/>
          <w:lang w:val="nl-NL"/>
        </w:rPr>
        <w:t xml:space="preserve"> </w:t>
      </w:r>
      <w:r w:rsidR="00052235">
        <w:rPr>
          <w:rFonts w:asciiTheme="minorHAnsi" w:eastAsia="Times New Roman" w:hAnsiTheme="minorHAnsi" w:cstheme="minorHAnsi"/>
          <w:color w:val="1F497D" w:themeColor="text2"/>
          <w:lang w:val="nl-NL"/>
        </w:rPr>
        <w:t>er</w:t>
      </w:r>
      <w:r w:rsidR="00154E76">
        <w:rPr>
          <w:rFonts w:asciiTheme="minorHAnsi" w:eastAsia="Times New Roman" w:hAnsiTheme="minorHAnsi" w:cstheme="minorHAnsi"/>
          <w:color w:val="1F497D" w:themeColor="text2"/>
          <w:lang w:val="nl-NL"/>
        </w:rPr>
        <w:t xml:space="preserve"> in ieder geval </w:t>
      </w:r>
      <w:r w:rsidR="00052235">
        <w:rPr>
          <w:rFonts w:asciiTheme="minorHAnsi" w:eastAsia="Times New Roman" w:hAnsiTheme="minorHAnsi" w:cstheme="minorHAnsi"/>
          <w:color w:val="1F497D" w:themeColor="text2"/>
          <w:lang w:val="nl-NL"/>
        </w:rPr>
        <w:t xml:space="preserve"> nog niet. </w:t>
      </w:r>
      <w:r w:rsidR="00D33EAB">
        <w:rPr>
          <w:rFonts w:asciiTheme="minorHAnsi" w:eastAsia="Times New Roman" w:hAnsiTheme="minorHAnsi" w:cstheme="minorHAnsi"/>
          <w:color w:val="1F497D" w:themeColor="text2"/>
          <w:lang w:val="nl-NL"/>
        </w:rPr>
        <w:t xml:space="preserve">Ik </w:t>
      </w:r>
      <w:r w:rsidR="0015606E">
        <w:rPr>
          <w:rFonts w:asciiTheme="minorHAnsi" w:eastAsia="Times New Roman" w:hAnsiTheme="minorHAnsi" w:cstheme="minorHAnsi"/>
          <w:color w:val="1F497D" w:themeColor="text2"/>
          <w:lang w:val="nl-NL"/>
        </w:rPr>
        <w:t xml:space="preserve">vind dit </w:t>
      </w:r>
      <w:r w:rsidR="00154E76">
        <w:rPr>
          <w:rFonts w:asciiTheme="minorHAnsi" w:eastAsia="Times New Roman" w:hAnsiTheme="minorHAnsi" w:cstheme="minorHAnsi"/>
          <w:color w:val="1F497D" w:themeColor="text2"/>
          <w:lang w:val="nl-NL"/>
        </w:rPr>
        <w:t xml:space="preserve">alles </w:t>
      </w:r>
      <w:r w:rsidR="0015606E">
        <w:rPr>
          <w:rFonts w:asciiTheme="minorHAnsi" w:eastAsia="Times New Roman" w:hAnsiTheme="minorHAnsi" w:cstheme="minorHAnsi"/>
          <w:color w:val="1F497D" w:themeColor="text2"/>
          <w:lang w:val="nl-NL"/>
        </w:rPr>
        <w:t>onduid</w:t>
      </w:r>
      <w:r w:rsidR="00052235">
        <w:rPr>
          <w:rFonts w:asciiTheme="minorHAnsi" w:eastAsia="Times New Roman" w:hAnsiTheme="minorHAnsi" w:cstheme="minorHAnsi"/>
          <w:color w:val="1F497D" w:themeColor="text2"/>
          <w:lang w:val="nl-NL"/>
        </w:rPr>
        <w:t xml:space="preserve">elijk </w:t>
      </w:r>
      <w:r w:rsidR="00D33EAB">
        <w:rPr>
          <w:rFonts w:asciiTheme="minorHAnsi" w:eastAsia="Times New Roman" w:hAnsiTheme="minorHAnsi" w:cstheme="minorHAnsi"/>
          <w:color w:val="1F497D" w:themeColor="text2"/>
          <w:lang w:val="nl-NL"/>
        </w:rPr>
        <w:t>en meen dat het niet van de grond komen van het Huis niet alleen aan de voorzitter kan worden verweten.</w:t>
      </w:r>
    </w:p>
    <w:p w:rsidR="009B1D7F" w:rsidRDefault="009B1D7F" w:rsidP="009B1D7F">
      <w:pPr>
        <w:rPr>
          <w:color w:val="1F497D"/>
          <w:lang w:val="nl-NL"/>
        </w:rPr>
      </w:pP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 xml:space="preserve">Onafhankelijkheid Bestuursleden </w:t>
      </w:r>
    </w:p>
    <w:p w:rsidR="009B1D7F" w:rsidRDefault="009B1D7F" w:rsidP="009B1D7F">
      <w:pPr>
        <w:ind w:left="720"/>
        <w:rPr>
          <w:color w:val="1F497D"/>
          <w:lang w:val="nl-NL"/>
        </w:rPr>
      </w:pPr>
      <w:r>
        <w:rPr>
          <w:color w:val="1F497D"/>
          <w:lang w:val="nl-NL"/>
        </w:rPr>
        <w:t>Bij de Kamerbehandeling van het initiatiefwetsvoorstel is veel geschreven en gesproken over de onafhakelijkheid van het Huis en de bestuursleden. Zie onder meer  Kamerstukken II, 34105, 3, p.2, 3, 7, p.9 en Kamerstukken II, 34105,</w:t>
      </w:r>
      <w:r w:rsidR="005729FC">
        <w:rPr>
          <w:color w:val="1F497D"/>
          <w:lang w:val="nl-NL"/>
        </w:rPr>
        <w:t xml:space="preserve"> </w:t>
      </w:r>
      <w:r>
        <w:rPr>
          <w:color w:val="1F497D"/>
          <w:lang w:val="nl-NL"/>
        </w:rPr>
        <w:t>7,  p.12.</w:t>
      </w:r>
    </w:p>
    <w:p w:rsidR="00507AD3" w:rsidRDefault="00507AD3" w:rsidP="009B1D7F">
      <w:pPr>
        <w:pStyle w:val="Basis"/>
        <w:rPr>
          <w:rFonts w:ascii="Calibri" w:hAnsi="Calibri" w:cs="Calibri"/>
          <w:color w:val="1F497D"/>
          <w:sz w:val="22"/>
          <w:szCs w:val="22"/>
          <w:lang w:val="nl-NL"/>
        </w:rPr>
      </w:pPr>
      <w:r>
        <w:rPr>
          <w:rFonts w:ascii="Calibri" w:hAnsi="Calibri" w:cs="Calibri"/>
          <w:color w:val="1F497D"/>
          <w:sz w:val="22"/>
          <w:szCs w:val="22"/>
          <w:lang w:val="nl-NL"/>
        </w:rPr>
        <w:t>               </w:t>
      </w:r>
      <w:r w:rsidR="009B1D7F">
        <w:rPr>
          <w:rFonts w:ascii="Calibri" w:hAnsi="Calibri" w:cs="Calibri"/>
          <w:color w:val="1F497D"/>
          <w:sz w:val="22"/>
          <w:szCs w:val="22"/>
          <w:lang w:val="nl-NL"/>
        </w:rPr>
        <w:t xml:space="preserve">Vooral de onafhankelijkheid van bestuursleden wordt </w:t>
      </w:r>
      <w:r>
        <w:rPr>
          <w:rFonts w:ascii="Calibri" w:hAnsi="Calibri" w:cs="Calibri"/>
          <w:color w:val="1F497D"/>
          <w:sz w:val="22"/>
          <w:szCs w:val="22"/>
          <w:lang w:val="nl-NL"/>
        </w:rPr>
        <w:t xml:space="preserve">van belang gevonden. Zie in dat </w:t>
      </w:r>
    </w:p>
    <w:p w:rsidR="009B1D7F" w:rsidRDefault="00507AD3" w:rsidP="009B1D7F">
      <w:pPr>
        <w:pStyle w:val="Basis"/>
        <w:rPr>
          <w:rFonts w:ascii="Calibri" w:hAnsi="Calibri" w:cs="Calibri"/>
          <w:color w:val="1F497D"/>
          <w:sz w:val="22"/>
          <w:szCs w:val="22"/>
          <w:lang w:val="nl-NL"/>
        </w:rPr>
      </w:pPr>
      <w:r>
        <w:rPr>
          <w:rFonts w:ascii="Calibri" w:hAnsi="Calibri" w:cs="Calibri"/>
          <w:color w:val="1F497D"/>
          <w:sz w:val="22"/>
          <w:szCs w:val="22"/>
          <w:lang w:val="nl-NL"/>
        </w:rPr>
        <w:t xml:space="preserve">               verband art. 3c lid 4 van de Wet: 4. “De voorzitter en de leden vervullen geen betrekkingen </w:t>
      </w:r>
    </w:p>
    <w:p w:rsidR="00507AD3" w:rsidRDefault="00507AD3" w:rsidP="009B1D7F">
      <w:pPr>
        <w:pStyle w:val="Basis"/>
        <w:rPr>
          <w:rFonts w:ascii="Calibri" w:hAnsi="Calibri" w:cs="Calibri"/>
          <w:color w:val="1F497D"/>
          <w:sz w:val="22"/>
          <w:szCs w:val="22"/>
          <w:lang w:val="nl-NL"/>
        </w:rPr>
      </w:pPr>
      <w:r>
        <w:rPr>
          <w:rFonts w:ascii="Calibri" w:hAnsi="Calibri" w:cs="Calibri"/>
          <w:color w:val="1F497D"/>
          <w:sz w:val="22"/>
          <w:szCs w:val="22"/>
          <w:lang w:val="nl-NL"/>
        </w:rPr>
        <w:t xml:space="preserve">               waarvan de uitoefening ongewenst is met het oog op een goede vervulling van zijn functie </w:t>
      </w:r>
    </w:p>
    <w:p w:rsidR="00507AD3" w:rsidRDefault="00507AD3" w:rsidP="009B1D7F">
      <w:pPr>
        <w:pStyle w:val="Basis"/>
        <w:rPr>
          <w:rFonts w:ascii="Calibri" w:hAnsi="Calibri" w:cs="Calibri"/>
          <w:color w:val="1F497D"/>
          <w:sz w:val="22"/>
          <w:szCs w:val="22"/>
          <w:lang w:val="nl-NL"/>
        </w:rPr>
      </w:pPr>
      <w:r>
        <w:rPr>
          <w:rFonts w:ascii="Calibri" w:hAnsi="Calibri" w:cs="Calibri"/>
          <w:color w:val="1F497D"/>
          <w:sz w:val="22"/>
          <w:szCs w:val="22"/>
          <w:lang w:val="nl-NL"/>
        </w:rPr>
        <w:t xml:space="preserve">               of op de handhaving van zijn onpartijdigheid en onafhankelijkheid of van het vertrouwen </w:t>
      </w:r>
    </w:p>
    <w:p w:rsidR="00507AD3" w:rsidRDefault="00507AD3" w:rsidP="009B1D7F">
      <w:pPr>
        <w:pStyle w:val="Basis"/>
        <w:rPr>
          <w:rFonts w:ascii="Calibri" w:hAnsi="Calibri" w:cs="Calibri"/>
          <w:color w:val="1F497D"/>
          <w:sz w:val="22"/>
          <w:szCs w:val="22"/>
          <w:lang w:val="nl-NL"/>
        </w:rPr>
      </w:pPr>
      <w:r>
        <w:rPr>
          <w:rFonts w:ascii="Calibri" w:hAnsi="Calibri" w:cs="Calibri"/>
          <w:color w:val="1F497D"/>
          <w:sz w:val="22"/>
          <w:szCs w:val="22"/>
          <w:lang w:val="nl-NL"/>
        </w:rPr>
        <w:t xml:space="preserve">               daarin”. Hoe kan het dan dat een bestuurslid wordt benoemd en verantwoordelijk wordt </w:t>
      </w:r>
    </w:p>
    <w:p w:rsidR="00507AD3" w:rsidRDefault="00507AD3" w:rsidP="009B1D7F">
      <w:pPr>
        <w:pStyle w:val="Basis"/>
        <w:rPr>
          <w:rFonts w:ascii="Calibri" w:hAnsi="Calibri" w:cs="Calibri"/>
          <w:color w:val="1F497D"/>
          <w:sz w:val="22"/>
          <w:szCs w:val="22"/>
          <w:lang w:val="nl-NL"/>
        </w:rPr>
      </w:pPr>
      <w:r>
        <w:rPr>
          <w:rFonts w:ascii="Calibri" w:hAnsi="Calibri" w:cs="Calibri"/>
          <w:color w:val="1F497D"/>
          <w:sz w:val="22"/>
          <w:szCs w:val="22"/>
          <w:lang w:val="nl-NL"/>
        </w:rPr>
        <w:t xml:space="preserve">               voor de Adviesafdeling die tevens Adviseur is van het College van Procureurs Generaal? Dit </w:t>
      </w:r>
    </w:p>
    <w:p w:rsidR="009B1D7F" w:rsidRPr="00A51142" w:rsidRDefault="00507AD3" w:rsidP="00A51142">
      <w:pPr>
        <w:pStyle w:val="Basis"/>
        <w:rPr>
          <w:rFonts w:ascii="Calibri" w:hAnsi="Calibri" w:cs="Calibri"/>
          <w:color w:val="1F497D"/>
          <w:sz w:val="22"/>
          <w:szCs w:val="22"/>
          <w:lang w:val="nl-NL"/>
        </w:rPr>
      </w:pPr>
      <w:r>
        <w:rPr>
          <w:rFonts w:ascii="Calibri" w:hAnsi="Calibri" w:cs="Calibri"/>
          <w:color w:val="1F497D"/>
          <w:sz w:val="22"/>
          <w:szCs w:val="22"/>
          <w:lang w:val="nl-NL"/>
        </w:rPr>
        <w:t xml:space="preserve">               is ook in strijd met art. 13 lid 1 van de Kaderwet ZBO.</w:t>
      </w:r>
    </w:p>
    <w:p w:rsidR="009B1D7F" w:rsidRDefault="009B1D7F" w:rsidP="009B1D7F">
      <w:pPr>
        <w:rPr>
          <w:color w:val="1F497D"/>
          <w:lang w:val="nl-NL"/>
        </w:rPr>
      </w:pP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Onschuld presumptie</w:t>
      </w:r>
    </w:p>
    <w:p w:rsidR="009B1D7F" w:rsidRPr="0085720C" w:rsidRDefault="00AE034C" w:rsidP="00515AFA">
      <w:pPr>
        <w:ind w:left="720"/>
        <w:rPr>
          <w:color w:val="1F497D" w:themeColor="text2"/>
          <w:lang w:val="nl-NL"/>
        </w:rPr>
      </w:pPr>
      <w:r>
        <w:rPr>
          <w:color w:val="1F497D"/>
          <w:lang w:val="nl-NL"/>
        </w:rPr>
        <w:t>TI</w:t>
      </w:r>
      <w:r w:rsidR="00515AFA">
        <w:rPr>
          <w:color w:val="1F497D"/>
          <w:lang w:val="nl-NL"/>
        </w:rPr>
        <w:t xml:space="preserve"> heeft in 2013, 2</w:t>
      </w:r>
      <w:r w:rsidR="0085720C">
        <w:rPr>
          <w:color w:val="1F497D"/>
          <w:lang w:val="nl-NL"/>
        </w:rPr>
        <w:t>01</w:t>
      </w:r>
      <w:r w:rsidR="00515AFA">
        <w:rPr>
          <w:color w:val="1F497D"/>
          <w:lang w:val="nl-NL"/>
        </w:rPr>
        <w:t>4 en 2015 de onschuld presumptie bepleit. Hoewel het volgens de initiatiefnemers niet de bedoeling is dat bij onderzoek op de schuldvraag wordt ingegaan, is het wel de bedoeling dat onderzoeksrapporten worden gepubliceerd, zij het in geanonimiseerde vorm (zie Kamerstukken I, 34105, C, p. 24</w:t>
      </w:r>
      <w:r w:rsidR="00515AFA" w:rsidRPr="0085720C">
        <w:rPr>
          <w:color w:val="1F497D" w:themeColor="text2"/>
          <w:lang w:val="nl-NL"/>
        </w:rPr>
        <w:t>).</w:t>
      </w:r>
      <w:r w:rsidR="0085720C" w:rsidRPr="0085720C">
        <w:rPr>
          <w:color w:val="1F497D" w:themeColor="text2"/>
          <w:lang w:val="nl-NL"/>
        </w:rPr>
        <w:t xml:space="preserve"> Dit zal tot allerlei veronderstellingen leiden, die gemakkelijk inbreuk maken op de onschuldpresumptie; dit met het risico van grote reputatie- en financiële schade. Ondanks deze mogelijke gevolgen is de procedure niet met voldoende waarborgen omgeven. (Zie ook Klokkenluiders in perspectief, mr. M.G. Kuijpers en prof. mr. J.S. Kortmann, p. 171 e.v.)</w:t>
      </w:r>
      <w:r w:rsidR="0085720C">
        <w:rPr>
          <w:color w:val="1F497D" w:themeColor="text2"/>
          <w:lang w:val="nl-NL"/>
        </w:rPr>
        <w:t>.</w:t>
      </w:r>
    </w:p>
    <w:p w:rsidR="009B1D7F" w:rsidRDefault="009B1D7F" w:rsidP="009B1D7F">
      <w:pPr>
        <w:rPr>
          <w:color w:val="1F497D"/>
          <w:lang w:val="nl-NL"/>
        </w:rPr>
      </w:pPr>
    </w:p>
    <w:p w:rsidR="009B1D7F" w:rsidRDefault="009B1D7F" w:rsidP="009B1D7F">
      <w:pPr>
        <w:pStyle w:val="ListParagraph"/>
        <w:numPr>
          <w:ilvl w:val="0"/>
          <w:numId w:val="2"/>
        </w:numPr>
        <w:rPr>
          <w:b/>
          <w:bCs/>
          <w:color w:val="1F497D"/>
        </w:rPr>
      </w:pPr>
      <w:r>
        <w:rPr>
          <w:b/>
          <w:bCs/>
          <w:color w:val="1F497D"/>
          <w:lang w:val="nl-NL"/>
        </w:rPr>
        <w:t>Sanctionerende bevoegdhe</w:t>
      </w:r>
      <w:r>
        <w:rPr>
          <w:b/>
          <w:bCs/>
          <w:color w:val="1F497D"/>
        </w:rPr>
        <w:t xml:space="preserve">id </w:t>
      </w:r>
      <w:proofErr w:type="spellStart"/>
      <w:r>
        <w:rPr>
          <w:b/>
          <w:bCs/>
          <w:color w:val="1F497D"/>
        </w:rPr>
        <w:t>Huis</w:t>
      </w:r>
      <w:proofErr w:type="spellEnd"/>
    </w:p>
    <w:p w:rsidR="009B1D7F" w:rsidRDefault="009B1D7F" w:rsidP="009B1D7F">
      <w:pPr>
        <w:ind w:left="720"/>
        <w:rPr>
          <w:color w:val="1F497D"/>
          <w:lang w:val="nl-NL"/>
        </w:rPr>
      </w:pPr>
      <w:r>
        <w:rPr>
          <w:color w:val="1F497D"/>
          <w:lang w:val="nl-NL"/>
        </w:rPr>
        <w:t>In h</w:t>
      </w:r>
      <w:r w:rsidR="00964848">
        <w:rPr>
          <w:color w:val="1F497D"/>
          <w:lang w:val="nl-NL"/>
        </w:rPr>
        <w:t>et commentaar van 27 januari 201</w:t>
      </w:r>
      <w:r>
        <w:rPr>
          <w:color w:val="1F497D"/>
          <w:lang w:val="nl-NL"/>
        </w:rPr>
        <w:t>5 noemt TI het Huis een tandeloze tijger. Dat is nog steeds terecht. Het Huis kan vele soorten aanbevelingen doen die de “werkgever”dan moet opvolgen, maar er staan geen sancties op het niet-opvolgen!</w:t>
      </w:r>
      <w:r w:rsidR="00F41389">
        <w:rPr>
          <w:color w:val="1F497D"/>
          <w:lang w:val="nl-NL"/>
        </w:rPr>
        <w:t xml:space="preserve"> Zie Kamerstukken I, 34103, C, p.12: </w:t>
      </w:r>
      <w:r w:rsidR="00F41389" w:rsidRPr="00F41389">
        <w:rPr>
          <w:color w:val="1F497D"/>
          <w:lang w:val="nl-NL"/>
        </w:rPr>
        <w:t>Deze aanbevelingen zijn niet bindend en kunnen dus ook niet juridisch worden afgedwongen</w:t>
      </w:r>
      <w:r w:rsidR="00F41389">
        <w:rPr>
          <w:color w:val="1F497D"/>
          <w:lang w:val="nl-NL"/>
        </w:rPr>
        <w:t>”</w:t>
      </w:r>
      <w:r w:rsidR="00F41389" w:rsidRPr="00F41389">
        <w:rPr>
          <w:color w:val="1F497D"/>
          <w:lang w:val="nl-NL"/>
        </w:rPr>
        <w:t>.</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Aangifteplicht ambtenaren 162 Sv</w:t>
      </w:r>
    </w:p>
    <w:p w:rsidR="009B1D7F" w:rsidRDefault="0099785A" w:rsidP="0099785A">
      <w:pPr>
        <w:ind w:left="720"/>
        <w:rPr>
          <w:color w:val="1F497D"/>
          <w:lang w:val="nl-NL"/>
        </w:rPr>
      </w:pPr>
      <w:r>
        <w:rPr>
          <w:color w:val="1F497D"/>
          <w:lang w:val="nl-NL"/>
        </w:rPr>
        <w:t>Onder meer in mei 2014 heeft TI gewaarschuwd voor bovenvermeld artikel op grond waarvan medewerkers</w:t>
      </w:r>
      <w:r w:rsidR="00964848">
        <w:rPr>
          <w:color w:val="1F497D"/>
          <w:lang w:val="nl-NL"/>
        </w:rPr>
        <w:t>/ bestuursleden</w:t>
      </w:r>
      <w:r>
        <w:rPr>
          <w:color w:val="1F497D"/>
          <w:lang w:val="nl-NL"/>
        </w:rPr>
        <w:t xml:space="preserve"> van de afdeling Advies ambtsmisdrijven waarvan zij kennis krijgen moeten aangeven. Bepleit is expliciet een uitzondering in de Wet op te nemen. De initiatiefnemers hebben ervoor gekozen dit op te nemen in het afstemmingsprotocol met het OM, hetgeen is geschied. Het valt te betwijfelen of dit formeel juridisch voldoende is.</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Verschil publieke en privaatrechtelijke normen</w:t>
      </w:r>
    </w:p>
    <w:p w:rsidR="009B1D7F" w:rsidRDefault="009B1D7F" w:rsidP="009B1D7F">
      <w:pPr>
        <w:ind w:left="720"/>
        <w:rPr>
          <w:color w:val="1F497D"/>
          <w:lang w:val="nl-NL"/>
        </w:rPr>
      </w:pPr>
      <w:r>
        <w:rPr>
          <w:color w:val="1F497D"/>
          <w:lang w:val="nl-NL"/>
        </w:rPr>
        <w:t>Zie  Kamerstukken I, 2015-2016, 34105, D, p.3  Rechtspositie private sector verschilt van publieke sector en daarom andere onderzoeksbevoegdheden.</w:t>
      </w:r>
    </w:p>
    <w:p w:rsidR="009B1D7F" w:rsidRDefault="009B1D7F" w:rsidP="009B1D7F">
      <w:pPr>
        <w:ind w:left="720"/>
        <w:rPr>
          <w:color w:val="1F497D"/>
          <w:lang w:val="nl-NL"/>
        </w:rPr>
      </w:pPr>
      <w:r>
        <w:rPr>
          <w:color w:val="1F497D"/>
          <w:lang w:val="nl-NL"/>
        </w:rPr>
        <w:t>Ook TI heeft op deze verschillen gewezen: Zie commentaar 2014.</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Naming en shaming tegenover anonieme rapportages</w:t>
      </w:r>
    </w:p>
    <w:p w:rsidR="009B1D7F" w:rsidRDefault="00876883" w:rsidP="00876883">
      <w:pPr>
        <w:ind w:left="720"/>
        <w:rPr>
          <w:color w:val="1F497D"/>
          <w:lang w:val="nl-NL"/>
        </w:rPr>
      </w:pPr>
      <w:r>
        <w:rPr>
          <w:color w:val="1F497D"/>
          <w:lang w:val="nl-NL"/>
        </w:rPr>
        <w:t xml:space="preserve">In de discussienota van 2013 wordt naming en shaming bepleit. In de daarop volgende commentaren komt TI daarop terug en wordt gewezen op de risico’s waaneer een rapport </w:t>
      </w:r>
      <w:r>
        <w:rPr>
          <w:color w:val="1F497D"/>
          <w:lang w:val="nl-NL"/>
        </w:rPr>
        <w:lastRenderedPageBreak/>
        <w:t>wordt gepubliceerd dat niet ingaat op de schuldvraag. In de Kamerbehandeling wordt uiteindelijk gekozen voor publicatie van geanonimiseerde rapporten (zie Kamerhandelingen Eerste Kamer 1</w:t>
      </w:r>
      <w:r w:rsidR="00964848">
        <w:rPr>
          <w:color w:val="1F497D"/>
          <w:lang w:val="nl-NL"/>
        </w:rPr>
        <w:t xml:space="preserve"> m</w:t>
      </w:r>
      <w:r>
        <w:rPr>
          <w:color w:val="1F497D"/>
          <w:lang w:val="nl-NL"/>
        </w:rPr>
        <w:t>aart 2016, p. 42</w:t>
      </w:r>
      <w:r w:rsidR="00964848">
        <w:rPr>
          <w:color w:val="1F497D"/>
          <w:lang w:val="nl-NL"/>
        </w:rPr>
        <w:t>)</w:t>
      </w:r>
      <w:r>
        <w:rPr>
          <w:color w:val="1F497D"/>
          <w:lang w:val="nl-NL"/>
        </w:rPr>
        <w:t>.</w:t>
      </w: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Financiële compensatie klokkenluiders</w:t>
      </w:r>
    </w:p>
    <w:p w:rsidR="009B1D7F" w:rsidRDefault="009B1D7F" w:rsidP="009B1D7F">
      <w:pPr>
        <w:ind w:left="720"/>
        <w:rPr>
          <w:color w:val="1F497D"/>
          <w:lang w:val="nl-NL"/>
        </w:rPr>
      </w:pPr>
      <w:r>
        <w:rPr>
          <w:color w:val="1F497D"/>
          <w:lang w:val="nl-NL"/>
        </w:rPr>
        <w:t xml:space="preserve">Het Fonds is in de nouvelle komen te vervallen. Echter, het lijkt gewenst dat melders wanneer zij worden gedwongen kosten te maken een tegmoetkoming krijgen. Wat gaan we hiermee doen? </w:t>
      </w:r>
    </w:p>
    <w:p w:rsidR="009B1D7F" w:rsidRDefault="009B1D7F" w:rsidP="009B1D7F">
      <w:pPr>
        <w:rPr>
          <w:b/>
          <w:bCs/>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Maatschappelijke plicht v. geheimhoudingsplicht en melden aan de media</w:t>
      </w:r>
    </w:p>
    <w:p w:rsidR="00FA32FF" w:rsidRPr="00FA32FF" w:rsidRDefault="00FA32FF" w:rsidP="00FA32FF">
      <w:pPr>
        <w:pStyle w:val="Default"/>
        <w:rPr>
          <w:rFonts w:asciiTheme="minorHAnsi" w:hAnsiTheme="minorHAnsi" w:cstheme="minorHAnsi"/>
          <w:color w:val="1F497D"/>
          <w:sz w:val="22"/>
          <w:szCs w:val="22"/>
          <w:lang w:val="nl-NL"/>
        </w:rPr>
      </w:pPr>
      <w:r>
        <w:rPr>
          <w:color w:val="1F497D"/>
          <w:lang w:val="nl-NL"/>
        </w:rPr>
        <w:t xml:space="preserve">           </w:t>
      </w:r>
      <w:r w:rsidRPr="00FA32FF">
        <w:rPr>
          <w:rFonts w:asciiTheme="minorHAnsi" w:hAnsiTheme="minorHAnsi" w:cstheme="minorHAnsi"/>
          <w:color w:val="1F497D"/>
          <w:sz w:val="22"/>
          <w:szCs w:val="22"/>
          <w:lang w:val="nl-NL"/>
        </w:rPr>
        <w:t xml:space="preserve">TI heeft bij herhaling aandacht gevraagd voor deze problematiek. Zo werd in  </w:t>
      </w:r>
    </w:p>
    <w:p w:rsidR="00FA32FF" w:rsidRPr="00FA32FF" w:rsidRDefault="00FA32FF" w:rsidP="00FA32FF">
      <w:pPr>
        <w:pStyle w:val="Default"/>
        <w:rPr>
          <w:rFonts w:asciiTheme="minorHAnsi" w:hAnsiTheme="minorHAnsi" w:cstheme="minorHAnsi"/>
          <w:color w:val="1F497D" w:themeColor="text2"/>
          <w:sz w:val="22"/>
          <w:szCs w:val="22"/>
          <w:lang w:val="nl-NL"/>
        </w:rPr>
      </w:pPr>
      <w:r>
        <w:rPr>
          <w:color w:val="1F497D"/>
          <w:lang w:val="nl-NL"/>
        </w:rPr>
        <w:t xml:space="preserve">           </w:t>
      </w:r>
      <w:r w:rsidRPr="00FA32FF">
        <w:rPr>
          <w:rFonts w:asciiTheme="minorHAnsi" w:hAnsiTheme="minorHAnsi" w:cstheme="minorHAnsi"/>
          <w:color w:val="1F497D"/>
          <w:sz w:val="22"/>
          <w:szCs w:val="22"/>
          <w:lang w:val="nl-NL"/>
        </w:rPr>
        <w:t xml:space="preserve">de brief van 14 oktober 2014 geschreven: </w:t>
      </w:r>
      <w:r w:rsidRPr="00FA32FF">
        <w:rPr>
          <w:rFonts w:asciiTheme="minorHAnsi" w:hAnsiTheme="minorHAnsi" w:cstheme="minorHAnsi"/>
          <w:color w:val="1F497D" w:themeColor="text2"/>
          <w:sz w:val="22"/>
          <w:szCs w:val="22"/>
          <w:lang w:val="nl-NL"/>
        </w:rPr>
        <w:t>“</w:t>
      </w:r>
      <w:r w:rsidRPr="00FA32FF">
        <w:rPr>
          <w:rFonts w:asciiTheme="minorHAnsi" w:hAnsiTheme="minorHAnsi" w:cstheme="minorHAnsi"/>
          <w:bCs/>
          <w:color w:val="1F497D" w:themeColor="text2"/>
          <w:sz w:val="22"/>
          <w:szCs w:val="22"/>
          <w:lang w:val="nl-NL"/>
        </w:rPr>
        <w:t xml:space="preserve">Uitgangspunt wet: melden is een uiting van </w:t>
      </w:r>
    </w:p>
    <w:p w:rsidR="00FA32FF" w:rsidRDefault="00FA32FF" w:rsidP="00FA32FF">
      <w:pPr>
        <w:pStyle w:val="Default"/>
        <w:rPr>
          <w:rFonts w:asciiTheme="minorHAnsi" w:hAnsiTheme="minorHAnsi" w:cstheme="minorHAnsi"/>
          <w:bCs/>
          <w:color w:val="1F497D" w:themeColor="text2"/>
          <w:sz w:val="22"/>
          <w:szCs w:val="22"/>
          <w:lang w:val="nl-NL"/>
        </w:rPr>
      </w:pPr>
      <w:r w:rsidRPr="00FA32FF">
        <w:rPr>
          <w:color w:val="1F497D" w:themeColor="text2"/>
          <w:lang w:val="nl-NL"/>
        </w:rPr>
        <w:t xml:space="preserve">           </w:t>
      </w:r>
      <w:r w:rsidRPr="00FA32FF">
        <w:rPr>
          <w:rFonts w:asciiTheme="minorHAnsi" w:hAnsiTheme="minorHAnsi" w:cstheme="minorHAnsi"/>
          <w:bCs/>
          <w:color w:val="1F497D" w:themeColor="text2"/>
          <w:sz w:val="22"/>
          <w:szCs w:val="22"/>
          <w:lang w:val="nl-NL"/>
        </w:rPr>
        <w:t>loyaliteit”</w:t>
      </w:r>
      <w:r>
        <w:rPr>
          <w:rFonts w:asciiTheme="minorHAnsi" w:hAnsiTheme="minorHAnsi" w:cstheme="minorHAnsi"/>
          <w:bCs/>
          <w:color w:val="1F497D" w:themeColor="text2"/>
          <w:sz w:val="22"/>
          <w:szCs w:val="22"/>
          <w:lang w:val="nl-NL"/>
        </w:rPr>
        <w:t xml:space="preserve">. Desondanks zijn er geen specifieke bepalingen over de vraag welke plicht   </w:t>
      </w:r>
    </w:p>
    <w:p w:rsidR="00FA32FF" w:rsidRDefault="00FA32FF" w:rsidP="00964848">
      <w:pPr>
        <w:pStyle w:val="Default"/>
        <w:rPr>
          <w:rFonts w:asciiTheme="minorHAnsi" w:hAnsiTheme="minorHAnsi" w:cstheme="minorHAnsi"/>
          <w:bCs/>
          <w:color w:val="1F497D" w:themeColor="text2"/>
          <w:sz w:val="22"/>
          <w:szCs w:val="22"/>
          <w:lang w:val="nl-NL"/>
        </w:rPr>
      </w:pPr>
      <w:r>
        <w:rPr>
          <w:rFonts w:asciiTheme="minorHAnsi" w:hAnsiTheme="minorHAnsi" w:cstheme="minorHAnsi"/>
          <w:bCs/>
          <w:color w:val="1F497D" w:themeColor="text2"/>
          <w:sz w:val="22"/>
          <w:szCs w:val="22"/>
          <w:lang w:val="nl-NL"/>
        </w:rPr>
        <w:t xml:space="preserve">               prioriteit heeft in de Wet of zelfs maar de Kamer</w:t>
      </w:r>
      <w:r w:rsidR="00964848">
        <w:rPr>
          <w:rFonts w:asciiTheme="minorHAnsi" w:hAnsiTheme="minorHAnsi" w:cstheme="minorHAnsi"/>
          <w:bCs/>
          <w:color w:val="1F497D" w:themeColor="text2"/>
          <w:sz w:val="22"/>
          <w:szCs w:val="22"/>
          <w:lang w:val="nl-NL"/>
        </w:rPr>
        <w:t xml:space="preserve">stukken en </w:t>
      </w:r>
      <w:r>
        <w:rPr>
          <w:rFonts w:asciiTheme="minorHAnsi" w:hAnsiTheme="minorHAnsi" w:cstheme="minorHAnsi"/>
          <w:bCs/>
          <w:color w:val="1F497D" w:themeColor="text2"/>
          <w:sz w:val="22"/>
          <w:szCs w:val="22"/>
          <w:lang w:val="nl-NL"/>
        </w:rPr>
        <w:t>handeling</w:t>
      </w:r>
      <w:r w:rsidR="00964848">
        <w:rPr>
          <w:rFonts w:asciiTheme="minorHAnsi" w:hAnsiTheme="minorHAnsi" w:cstheme="minorHAnsi"/>
          <w:bCs/>
          <w:color w:val="1F497D" w:themeColor="text2"/>
          <w:sz w:val="22"/>
          <w:szCs w:val="22"/>
          <w:lang w:val="nl-NL"/>
        </w:rPr>
        <w:t xml:space="preserve">en opgenomen (zie  </w:t>
      </w:r>
    </w:p>
    <w:p w:rsidR="00964848" w:rsidRDefault="00964848" w:rsidP="00964848">
      <w:pPr>
        <w:pStyle w:val="Default"/>
        <w:rPr>
          <w:rFonts w:asciiTheme="minorHAnsi" w:hAnsiTheme="minorHAnsi" w:cstheme="minorHAnsi"/>
          <w:bCs/>
          <w:color w:val="1F497D" w:themeColor="text2"/>
          <w:sz w:val="22"/>
          <w:szCs w:val="22"/>
          <w:lang w:val="nl-NL"/>
        </w:rPr>
      </w:pPr>
      <w:r>
        <w:rPr>
          <w:rFonts w:asciiTheme="minorHAnsi" w:hAnsiTheme="minorHAnsi" w:cstheme="minorHAnsi"/>
          <w:bCs/>
          <w:color w:val="1F497D" w:themeColor="text2"/>
          <w:sz w:val="22"/>
          <w:szCs w:val="22"/>
          <w:lang w:val="nl-NL"/>
        </w:rPr>
        <w:t xml:space="preserve">               bijvoorbeeld Kamerstukken II, 34105, 7, p.5). In dezelfde gewijzigde memorie van toelichting </w:t>
      </w:r>
    </w:p>
    <w:p w:rsidR="00964848" w:rsidRDefault="00964848" w:rsidP="00964848">
      <w:pPr>
        <w:pStyle w:val="Default"/>
        <w:rPr>
          <w:rFonts w:asciiTheme="minorHAnsi" w:hAnsiTheme="minorHAnsi" w:cstheme="minorHAnsi"/>
          <w:bCs/>
          <w:color w:val="1F497D" w:themeColor="text2"/>
          <w:sz w:val="22"/>
          <w:szCs w:val="22"/>
          <w:lang w:val="nl-NL"/>
        </w:rPr>
      </w:pPr>
      <w:r>
        <w:rPr>
          <w:rFonts w:asciiTheme="minorHAnsi" w:hAnsiTheme="minorHAnsi" w:cstheme="minorHAnsi"/>
          <w:bCs/>
          <w:color w:val="1F497D" w:themeColor="text2"/>
          <w:sz w:val="22"/>
          <w:szCs w:val="22"/>
          <w:lang w:val="nl-NL"/>
        </w:rPr>
        <w:t xml:space="preserve">               schrijven Initiatiefnemers op p. 24  dat het de bedoeling om met het wetsvoorstel een </w:t>
      </w:r>
    </w:p>
    <w:p w:rsidR="00964848" w:rsidRDefault="00964848" w:rsidP="00964848">
      <w:pPr>
        <w:pStyle w:val="Default"/>
        <w:rPr>
          <w:rFonts w:asciiTheme="minorHAnsi" w:hAnsiTheme="minorHAnsi" w:cstheme="minorHAnsi"/>
          <w:bCs/>
          <w:color w:val="1F497D" w:themeColor="text2"/>
          <w:sz w:val="22"/>
          <w:szCs w:val="22"/>
          <w:lang w:val="nl-NL"/>
        </w:rPr>
      </w:pPr>
      <w:r>
        <w:rPr>
          <w:rFonts w:asciiTheme="minorHAnsi" w:hAnsiTheme="minorHAnsi" w:cstheme="minorHAnsi"/>
          <w:bCs/>
          <w:color w:val="1F497D" w:themeColor="text2"/>
          <w:sz w:val="22"/>
          <w:szCs w:val="22"/>
          <w:lang w:val="nl-NL"/>
        </w:rPr>
        <w:t xml:space="preserve">               adequaat systeem neer te zetten dat eventueel extern melden bij de media overbodig zal </w:t>
      </w:r>
    </w:p>
    <w:p w:rsidR="00964848" w:rsidRPr="00964848" w:rsidRDefault="00964848" w:rsidP="00964848">
      <w:pPr>
        <w:pStyle w:val="Default"/>
        <w:rPr>
          <w:rFonts w:asciiTheme="minorHAnsi" w:hAnsiTheme="minorHAnsi" w:cstheme="minorHAnsi"/>
          <w:bCs/>
          <w:color w:val="1F497D" w:themeColor="text2"/>
          <w:sz w:val="22"/>
          <w:szCs w:val="22"/>
          <w:lang w:val="nl-NL"/>
        </w:rPr>
      </w:pPr>
      <w:r>
        <w:rPr>
          <w:rFonts w:asciiTheme="minorHAnsi" w:hAnsiTheme="minorHAnsi" w:cstheme="minorHAnsi"/>
          <w:bCs/>
          <w:color w:val="1F497D" w:themeColor="text2"/>
          <w:sz w:val="22"/>
          <w:szCs w:val="22"/>
          <w:lang w:val="nl-NL"/>
        </w:rPr>
        <w:t xml:space="preserve">               maken.</w:t>
      </w:r>
    </w:p>
    <w:p w:rsidR="009B1D7F" w:rsidRPr="00FA32FF" w:rsidRDefault="009B1D7F" w:rsidP="0091763E">
      <w:pPr>
        <w:rPr>
          <w:color w:val="1F497D"/>
          <w:lang w:val="nl-NL"/>
        </w:rPr>
      </w:pPr>
    </w:p>
    <w:p w:rsidR="009B1D7F" w:rsidRDefault="009B1D7F" w:rsidP="009B1D7F">
      <w:pPr>
        <w:rPr>
          <w:color w:val="1F497D"/>
          <w:lang w:val="nl-NL"/>
        </w:rPr>
      </w:pPr>
    </w:p>
    <w:p w:rsidR="009B1D7F" w:rsidRDefault="009B1D7F" w:rsidP="009B1D7F">
      <w:pPr>
        <w:pStyle w:val="ListParagraph"/>
        <w:numPr>
          <w:ilvl w:val="0"/>
          <w:numId w:val="2"/>
        </w:numPr>
        <w:rPr>
          <w:b/>
          <w:bCs/>
          <w:color w:val="1F497D"/>
          <w:lang w:val="nl-NL"/>
        </w:rPr>
      </w:pPr>
      <w:r>
        <w:rPr>
          <w:b/>
          <w:bCs/>
          <w:color w:val="1F497D"/>
          <w:lang w:val="nl-NL"/>
        </w:rPr>
        <w:t>Onvoldoende juridische kwaliteit Wet</w:t>
      </w:r>
    </w:p>
    <w:p w:rsidR="009B1D7F" w:rsidRDefault="009B1D7F" w:rsidP="009B1D7F">
      <w:pPr>
        <w:pStyle w:val="ListParagraph"/>
        <w:rPr>
          <w:color w:val="1F497D"/>
          <w:lang w:val="nl-NL"/>
        </w:rPr>
      </w:pPr>
      <w:r>
        <w:rPr>
          <w:color w:val="1F497D"/>
          <w:lang w:val="nl-NL"/>
        </w:rPr>
        <w:t xml:space="preserve">Vooral door de waardevolle inbreng van Caroline heeft TI bij herhaling gewezen op de slechte kwaliteit van het Initiatiefwetsvoorstel. Zie onder meer de commentaren van 2014 en 2015, waarin in detail op de gebreken is gewezen. In algemene zin </w:t>
      </w:r>
      <w:r w:rsidR="00B60719">
        <w:rPr>
          <w:color w:val="1F497D"/>
          <w:lang w:val="nl-NL"/>
        </w:rPr>
        <w:t xml:space="preserve">zijn </w:t>
      </w:r>
      <w:r>
        <w:rPr>
          <w:color w:val="1F497D"/>
          <w:lang w:val="nl-NL"/>
        </w:rPr>
        <w:t>door de initiatiefnemers veel zaken niet uitdrukkelijk in de Wet opgenomen onder het motto dat de memorie van toelichting of antwoord al voldoende duidelijkheid zou</w:t>
      </w:r>
      <w:r w:rsidR="00B60719">
        <w:rPr>
          <w:color w:val="1F497D"/>
          <w:lang w:val="nl-NL"/>
        </w:rPr>
        <w:t>den geven. Als voorbeeld</w:t>
      </w:r>
      <w:r>
        <w:rPr>
          <w:color w:val="1F497D"/>
          <w:lang w:val="nl-NL"/>
        </w:rPr>
        <w:t xml:space="preserve"> moge diene</w:t>
      </w:r>
      <w:r w:rsidR="00B60719">
        <w:rPr>
          <w:color w:val="1F497D"/>
          <w:lang w:val="nl-NL"/>
        </w:rPr>
        <w:t>n</w:t>
      </w:r>
      <w:r>
        <w:rPr>
          <w:color w:val="1F497D"/>
          <w:lang w:val="nl-NL"/>
        </w:rPr>
        <w:t xml:space="preserve"> dat onder benadeling ook vallen, pesterijen, intimidatie en buitensluiting</w:t>
      </w:r>
      <w:r w:rsidR="00D65E88">
        <w:rPr>
          <w:color w:val="1F497D"/>
          <w:lang w:val="nl-NL"/>
        </w:rPr>
        <w:t xml:space="preserve"> vallen</w:t>
      </w:r>
      <w:r>
        <w:rPr>
          <w:color w:val="1F497D"/>
          <w:lang w:val="nl-NL"/>
        </w:rPr>
        <w:t xml:space="preserve"> (zie Kamerstukken II, 2014/15, 9, p.10) of het niet van toepassing zijn van art. 162</w:t>
      </w:r>
      <w:r w:rsidR="00015778">
        <w:rPr>
          <w:color w:val="1F497D"/>
          <w:lang w:val="nl-NL"/>
        </w:rPr>
        <w:t xml:space="preserve"> </w:t>
      </w:r>
      <w:r>
        <w:rPr>
          <w:color w:val="1F497D"/>
          <w:lang w:val="nl-NL"/>
        </w:rPr>
        <w:t>Sv</w:t>
      </w:r>
      <w:r w:rsidR="00015778">
        <w:rPr>
          <w:color w:val="1F497D"/>
          <w:lang w:val="nl-NL"/>
        </w:rPr>
        <w:t>.</w:t>
      </w:r>
      <w:r>
        <w:rPr>
          <w:color w:val="1F497D"/>
          <w:lang w:val="nl-NL"/>
        </w:rPr>
        <w:t xml:space="preserve"> op de medewerkers van de Adviesafdeling (zie hierboven). </w:t>
      </w:r>
    </w:p>
    <w:p w:rsidR="009B1D7F" w:rsidRDefault="009B1D7F" w:rsidP="009B1D7F">
      <w:pPr>
        <w:pStyle w:val="ListParagraph"/>
        <w:rPr>
          <w:b/>
          <w:bCs/>
          <w:color w:val="1F497D"/>
          <w:lang w:val="nl-NL"/>
        </w:rPr>
      </w:pPr>
    </w:p>
    <w:p w:rsidR="009B1D7F" w:rsidRDefault="009B1D7F" w:rsidP="009B1D7F">
      <w:pPr>
        <w:rPr>
          <w:color w:val="1F497D"/>
          <w:lang w:val="nl-NL"/>
        </w:rPr>
      </w:pPr>
    </w:p>
    <w:p w:rsidR="009B1D7F" w:rsidRDefault="009B1D7F" w:rsidP="009B1D7F">
      <w:pPr>
        <w:pStyle w:val="ListParagraph"/>
        <w:rPr>
          <w:lang w:val="nl-NL"/>
        </w:rPr>
      </w:pPr>
    </w:p>
    <w:p w:rsidR="006C1FEE" w:rsidRPr="009B1D7F" w:rsidRDefault="006C1FEE">
      <w:pPr>
        <w:rPr>
          <w:lang w:val="nl-NL"/>
        </w:rPr>
      </w:pPr>
    </w:p>
    <w:sectPr w:rsidR="006C1FEE" w:rsidRPr="009B1D7F" w:rsidSect="006C1FE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680" w:rsidRDefault="00F92680" w:rsidP="00CB4AE1">
      <w:r>
        <w:separator/>
      </w:r>
    </w:p>
  </w:endnote>
  <w:endnote w:type="continuationSeparator" w:id="0">
    <w:p w:rsidR="00F92680" w:rsidRDefault="00F92680" w:rsidP="00CB4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FF" w:rsidRDefault="00FA32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737157"/>
      <w:docPartObj>
        <w:docPartGallery w:val="Page Numbers (Bottom of Page)"/>
        <w:docPartUnique/>
      </w:docPartObj>
    </w:sdtPr>
    <w:sdtContent>
      <w:p w:rsidR="00FA32FF" w:rsidRDefault="001B3968">
        <w:pPr>
          <w:pStyle w:val="Footer"/>
          <w:jc w:val="center"/>
        </w:pPr>
        <w:fldSimple w:instr=" PAGE   \* MERGEFORMAT ">
          <w:r w:rsidR="00AE034C">
            <w:rPr>
              <w:noProof/>
            </w:rPr>
            <w:t>5</w:t>
          </w:r>
        </w:fldSimple>
      </w:p>
    </w:sdtContent>
  </w:sdt>
  <w:p w:rsidR="00FA32FF" w:rsidRDefault="00FA32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FF" w:rsidRDefault="00FA3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680" w:rsidRDefault="00F92680" w:rsidP="00CB4AE1">
      <w:r>
        <w:separator/>
      </w:r>
    </w:p>
  </w:footnote>
  <w:footnote w:type="continuationSeparator" w:id="0">
    <w:p w:rsidR="00F92680" w:rsidRDefault="00F92680" w:rsidP="00CB4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FF" w:rsidRDefault="00FA32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FF" w:rsidRDefault="00FA32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FF" w:rsidRDefault="00FA32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07F55"/>
    <w:multiLevelType w:val="hybridMultilevel"/>
    <w:tmpl w:val="46F479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73A84DC4"/>
    <w:multiLevelType w:val="hybridMultilevel"/>
    <w:tmpl w:val="465466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footnotePr>
    <w:footnote w:id="-1"/>
    <w:footnote w:id="0"/>
  </w:footnotePr>
  <w:endnotePr>
    <w:endnote w:id="-1"/>
    <w:endnote w:id="0"/>
  </w:endnotePr>
  <w:compat/>
  <w:rsids>
    <w:rsidRoot w:val="009B1D7F"/>
    <w:rsid w:val="00013269"/>
    <w:rsid w:val="00015778"/>
    <w:rsid w:val="00052235"/>
    <w:rsid w:val="001171F9"/>
    <w:rsid w:val="00154E76"/>
    <w:rsid w:val="00155B74"/>
    <w:rsid w:val="0015606E"/>
    <w:rsid w:val="001A4A7A"/>
    <w:rsid w:val="001B3968"/>
    <w:rsid w:val="001C35A8"/>
    <w:rsid w:val="001D0A02"/>
    <w:rsid w:val="0027621A"/>
    <w:rsid w:val="002762E7"/>
    <w:rsid w:val="002F7C0B"/>
    <w:rsid w:val="003328BF"/>
    <w:rsid w:val="003E6CF0"/>
    <w:rsid w:val="00403584"/>
    <w:rsid w:val="004806E4"/>
    <w:rsid w:val="004E3A1D"/>
    <w:rsid w:val="00507AD3"/>
    <w:rsid w:val="00515AFA"/>
    <w:rsid w:val="00534B54"/>
    <w:rsid w:val="005729FC"/>
    <w:rsid w:val="006252D1"/>
    <w:rsid w:val="006741EF"/>
    <w:rsid w:val="006C1FEE"/>
    <w:rsid w:val="00783DEC"/>
    <w:rsid w:val="00785D37"/>
    <w:rsid w:val="007E6217"/>
    <w:rsid w:val="0085720C"/>
    <w:rsid w:val="00876883"/>
    <w:rsid w:val="0091763E"/>
    <w:rsid w:val="00964848"/>
    <w:rsid w:val="0099785A"/>
    <w:rsid w:val="009A4926"/>
    <w:rsid w:val="009B1D7F"/>
    <w:rsid w:val="009F73F0"/>
    <w:rsid w:val="00A51142"/>
    <w:rsid w:val="00A85504"/>
    <w:rsid w:val="00AE034C"/>
    <w:rsid w:val="00B60719"/>
    <w:rsid w:val="00BE45A5"/>
    <w:rsid w:val="00BF79D3"/>
    <w:rsid w:val="00CB4AE1"/>
    <w:rsid w:val="00D33EAB"/>
    <w:rsid w:val="00D51141"/>
    <w:rsid w:val="00D65E88"/>
    <w:rsid w:val="00EB2928"/>
    <w:rsid w:val="00EF4951"/>
    <w:rsid w:val="00F2145A"/>
    <w:rsid w:val="00F41389"/>
    <w:rsid w:val="00F92680"/>
    <w:rsid w:val="00F94A91"/>
    <w:rsid w:val="00FA32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7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D7F"/>
    <w:pPr>
      <w:ind w:left="720"/>
    </w:pPr>
  </w:style>
  <w:style w:type="paragraph" w:customStyle="1" w:styleId="Basis">
    <w:name w:val="Basis"/>
    <w:basedOn w:val="Normal"/>
    <w:rsid w:val="009B1D7F"/>
    <w:pPr>
      <w:autoSpaceDN w:val="0"/>
    </w:pPr>
    <w:rPr>
      <w:rFonts w:ascii="DejaVu Sans" w:hAnsi="DejaVu Sans" w:cs="Times New Roman"/>
      <w:sz w:val="18"/>
      <w:szCs w:val="18"/>
    </w:rPr>
  </w:style>
  <w:style w:type="character" w:styleId="CommentReference">
    <w:name w:val="annotation reference"/>
    <w:basedOn w:val="DefaultParagraphFont"/>
    <w:uiPriority w:val="99"/>
    <w:semiHidden/>
    <w:unhideWhenUsed/>
    <w:rsid w:val="00052235"/>
    <w:rPr>
      <w:sz w:val="16"/>
      <w:szCs w:val="16"/>
    </w:rPr>
  </w:style>
  <w:style w:type="paragraph" w:styleId="CommentText">
    <w:name w:val="annotation text"/>
    <w:basedOn w:val="Normal"/>
    <w:link w:val="CommentTextChar"/>
    <w:uiPriority w:val="99"/>
    <w:semiHidden/>
    <w:unhideWhenUsed/>
    <w:rsid w:val="00052235"/>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52235"/>
    <w:rPr>
      <w:sz w:val="20"/>
      <w:szCs w:val="20"/>
    </w:rPr>
  </w:style>
  <w:style w:type="paragraph" w:styleId="BalloonText">
    <w:name w:val="Balloon Text"/>
    <w:basedOn w:val="Normal"/>
    <w:link w:val="BalloonTextChar"/>
    <w:uiPriority w:val="99"/>
    <w:semiHidden/>
    <w:unhideWhenUsed/>
    <w:rsid w:val="00052235"/>
    <w:rPr>
      <w:rFonts w:ascii="Tahoma" w:hAnsi="Tahoma" w:cs="Tahoma"/>
      <w:sz w:val="16"/>
      <w:szCs w:val="16"/>
    </w:rPr>
  </w:style>
  <w:style w:type="character" w:customStyle="1" w:styleId="BalloonTextChar">
    <w:name w:val="Balloon Text Char"/>
    <w:basedOn w:val="DefaultParagraphFont"/>
    <w:link w:val="BalloonText"/>
    <w:uiPriority w:val="99"/>
    <w:semiHidden/>
    <w:rsid w:val="00052235"/>
    <w:rPr>
      <w:rFonts w:ascii="Tahoma" w:hAnsi="Tahoma" w:cs="Tahoma"/>
      <w:sz w:val="16"/>
      <w:szCs w:val="16"/>
      <w:lang w:eastAsia="en-GB"/>
    </w:rPr>
  </w:style>
  <w:style w:type="paragraph" w:styleId="Header">
    <w:name w:val="header"/>
    <w:basedOn w:val="Normal"/>
    <w:link w:val="HeaderChar"/>
    <w:uiPriority w:val="99"/>
    <w:semiHidden/>
    <w:unhideWhenUsed/>
    <w:rsid w:val="00CB4AE1"/>
    <w:pPr>
      <w:tabs>
        <w:tab w:val="center" w:pos="4513"/>
        <w:tab w:val="right" w:pos="9026"/>
      </w:tabs>
    </w:pPr>
  </w:style>
  <w:style w:type="character" w:customStyle="1" w:styleId="HeaderChar">
    <w:name w:val="Header Char"/>
    <w:basedOn w:val="DefaultParagraphFont"/>
    <w:link w:val="Header"/>
    <w:uiPriority w:val="99"/>
    <w:semiHidden/>
    <w:rsid w:val="00CB4AE1"/>
    <w:rPr>
      <w:rFonts w:ascii="Calibri" w:hAnsi="Calibri" w:cs="Calibri"/>
      <w:lang w:eastAsia="en-GB"/>
    </w:rPr>
  </w:style>
  <w:style w:type="paragraph" w:styleId="Footer">
    <w:name w:val="footer"/>
    <w:basedOn w:val="Normal"/>
    <w:link w:val="FooterChar"/>
    <w:uiPriority w:val="99"/>
    <w:unhideWhenUsed/>
    <w:rsid w:val="00CB4AE1"/>
    <w:pPr>
      <w:tabs>
        <w:tab w:val="center" w:pos="4513"/>
        <w:tab w:val="right" w:pos="9026"/>
      </w:tabs>
    </w:pPr>
  </w:style>
  <w:style w:type="character" w:customStyle="1" w:styleId="FooterChar">
    <w:name w:val="Footer Char"/>
    <w:basedOn w:val="DefaultParagraphFont"/>
    <w:link w:val="Footer"/>
    <w:uiPriority w:val="99"/>
    <w:rsid w:val="00CB4AE1"/>
    <w:rPr>
      <w:rFonts w:ascii="Calibri" w:hAnsi="Calibri" w:cs="Calibri"/>
      <w:lang w:eastAsia="en-GB"/>
    </w:rPr>
  </w:style>
  <w:style w:type="paragraph" w:customStyle="1" w:styleId="Default">
    <w:name w:val="Default"/>
    <w:rsid w:val="00FA32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603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Jeroen</cp:lastModifiedBy>
  <cp:revision>24</cp:revision>
  <cp:lastPrinted>2017-12-11T12:15:00Z</cp:lastPrinted>
  <dcterms:created xsi:type="dcterms:W3CDTF">2017-10-31T09:37:00Z</dcterms:created>
  <dcterms:modified xsi:type="dcterms:W3CDTF">2018-04-05T12:14:00Z</dcterms:modified>
</cp:coreProperties>
</file>